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11580d424b7.htm"/>
        <w:bookmarkStart w:id="1" w:name="ksd111580d424b7"/>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424(b)(7) </w:t>
        <w:br/>
        <w:t xml:space="preserve">Registration File No. 333-261810 </w:t>
      </w:r>
    </w:p>
    <w:p>
      <w:pPr>
        <w:pStyle w:val="TextBody"/>
        <w:bidi w:val="0"/>
        <w:spacing w:before="12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February 7, 2023) </w:t>
      </w:r>
    </w:p>
    <w:p>
      <w:pPr>
        <w:pStyle w:val="TextBody"/>
        <w:bidi w:val="0"/>
        <w:spacing w:before="120" w:after="0"/>
        <w:jc w:val="center"/>
        <w:rPr>
          <w:rFonts w:ascii="Times New Roman" w:hAnsi="Times New Roman"/>
          <w:b/>
          <w:sz w:val="32"/>
        </w:rPr>
      </w:pPr>
      <w:r>
        <w:rPr>
          <w:rFonts w:ascii="Times New Roman" w:hAnsi="Times New Roman"/>
          <w:b/>
          <w:sz w:val="32"/>
        </w:rPr>
        <w:t xml:space="preserve">9,250,000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282315"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82315" cy="762000"/>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sz w:val="48"/>
        </w:rPr>
      </w:pPr>
      <w:r>
        <w:rPr>
          <w:rFonts w:ascii="Times New Roman" w:hAnsi="Times New Roman"/>
          <w:b/>
          <w:sz w:val="48"/>
        </w:rPr>
        <w:t xml:space="preserve">Hagerty, Inc. </w:t>
      </w:r>
    </w:p>
    <w:p>
      <w:pPr>
        <w:pStyle w:val="TextBody"/>
        <w:bidi w:val="0"/>
        <w:spacing w:before="120" w:after="0"/>
        <w:jc w:val="center"/>
        <w:rPr>
          <w:rFonts w:ascii="Times New Roman" w:hAnsi="Times New Roman"/>
          <w:b/>
          <w:sz w:val="28"/>
        </w:rPr>
      </w:pPr>
      <w:r>
        <w:rPr>
          <w:rFonts w:ascii="Times New Roman" w:hAnsi="Times New Roman"/>
          <w:b/>
          <w:sz w:val="28"/>
        </w:rPr>
        <w:t xml:space="preserve">Class A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The selling stockholder named in this prospectus supplement, Hagerty Holding Corp. (“HHC”), is offering 9,250,000 shares of our Class A common stock, par value $0.0001 per share (“Class A Common Stock”). The shares to be sold by HHC are issuable upon the exchange (the “HHC Exchange”) of certain of its units (“OpCo Units”) of equity in OpCo (as defined herein) and an equivalent number of corresponding shares of our Class V common stock, par value $0.0001 per share (“Class V Common Stock,” and, together with the OpCo Units, the “paired interests”) pursuant to the terms of the Exchange Agreement (as defined herein). The HHC Exchange will occur prior to the consummation of this offering. See “Selling Stockholder” and “Prospectus Summary—Organizational Structure.” </w:t>
      </w:r>
    </w:p>
    <w:p>
      <w:pPr>
        <w:pStyle w:val="TextBody"/>
        <w:bidi w:val="0"/>
        <w:spacing w:before="120" w:after="0"/>
        <w:jc w:val="left"/>
        <w:rPr>
          <w:rFonts w:ascii="Times New Roman" w:hAnsi="Times New Roman"/>
          <w:sz w:val="20"/>
        </w:rPr>
      </w:pPr>
      <w:r>
        <w:rPr>
          <w:rFonts w:ascii="Times New Roman" w:hAnsi="Times New Roman"/>
          <w:sz w:val="20"/>
        </w:rPr>
        <w:t xml:space="preserve">HHC is beneficially owned by members of the Hagerty family, including McKeel Hagerty, our Chief Executive Officer, Tammy Hagerty, Mr. Hagerty’s sister, and the Kim Hagerty Revocable Trust, a trust established for the benefit of the late Kim Hagerty’s family and charitable purposes. HHC has advised us that the net proceeds from the sale of its shares in this offering will be used to effect a redemption, for the benefit of the Kim Hagerty Revocable Trust, of a corresponding number of its HHC shares. We will not receive any proceeds from the sale of Class A Common Stock by the selling stockholder. </w:t>
      </w:r>
    </w:p>
    <w:p>
      <w:pPr>
        <w:pStyle w:val="TextBody"/>
        <w:bidi w:val="0"/>
        <w:spacing w:before="120" w:after="0"/>
        <w:jc w:val="left"/>
        <w:rPr>
          <w:rFonts w:ascii="Times New Roman" w:hAnsi="Times New Roman"/>
          <w:sz w:val="20"/>
        </w:rPr>
      </w:pPr>
      <w:r>
        <w:rPr>
          <w:rFonts w:ascii="Times New Roman" w:hAnsi="Times New Roman"/>
          <w:sz w:val="20"/>
        </w:rPr>
        <w:t xml:space="preserve">Our Class A Common Stock is listed on The New York Stock Exchange (the “NYSE”) under the symbol “HGTY.” On September 9, 2026 the closing price per share as reported on the NYSE was $13.26. </w:t>
      </w:r>
    </w:p>
    <w:p>
      <w:pPr>
        <w:pStyle w:val="TextBody"/>
        <w:bidi w:val="0"/>
        <w:spacing w:before="120" w:after="0"/>
        <w:jc w:val="left"/>
        <w:rPr/>
      </w:pPr>
      <w:r>
        <w:rPr>
          <w:rFonts w:ascii="Times New Roman" w:hAnsi="Times New Roman"/>
          <w:i/>
          <w:sz w:val="24"/>
        </w:rPr>
        <w:t>Investing in our Class A Common Stock involves a high degree of risk. See “</w:t>
      </w:r>
      <w:hyperlink w:anchor="suptoc111580_4">
        <w:r>
          <w:rPr>
            <w:rStyle w:val="InternetLink"/>
            <w:rFonts w:ascii="Times New Roman" w:hAnsi="Times New Roman"/>
            <w:i/>
            <w:sz w:val="24"/>
          </w:rPr>
          <w:t>Risk Factors</w:t>
        </w:r>
      </w:hyperlink>
      <w:r>
        <w:rPr>
          <w:rFonts w:ascii="Times New Roman" w:hAnsi="Times New Roman"/>
          <w:i/>
          <w:sz w:val="24"/>
        </w:rPr>
        <w:t xml:space="preserve">” beginning on page S-10 of this prospectus supplement and page 5 of the accompanying prospectus to read about factors you should consider before buying shares of our Class A Common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67"/>
        <w:gridCol w:w="225"/>
        <w:gridCol w:w="178"/>
        <w:gridCol w:w="880"/>
        <w:gridCol w:w="60"/>
        <w:gridCol w:w="225"/>
        <w:gridCol w:w="140"/>
        <w:gridCol w:w="1566"/>
        <w:gridCol w:w="64"/>
      </w:tblGrid>
      <w:tr>
        <w:trPr/>
        <w:tc>
          <w:tcPr>
            <w:tcW w:w="6867"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867"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0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7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68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22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11.950</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66" w:type="dxa"/>
            <w:tcBorders/>
            <w:shd w:fill="CCEEFF" w:val="clear"/>
            <w:vAlign w:val="bottom"/>
          </w:tcPr>
          <w:p>
            <w:pPr>
              <w:pStyle w:val="TableContents"/>
              <w:bidi w:val="0"/>
              <w:spacing w:before="0" w:after="283"/>
              <w:jc w:val="right"/>
              <w:rPr/>
            </w:pPr>
            <w:r>
              <w:rPr/>
              <w:t>110,537,500.00</w:t>
            </w:r>
          </w:p>
        </w:tc>
        <w:tc>
          <w:tcPr>
            <w:tcW w:w="64" w:type="dxa"/>
            <w:tcBorders/>
            <w:shd w:fill="CCEEFF" w:val="clear"/>
            <w:vAlign w:val="bottom"/>
          </w:tcPr>
          <w:p>
            <w:pPr>
              <w:pStyle w:val="TableContents"/>
              <w:bidi w:val="0"/>
              <w:spacing w:before="0" w:after="283"/>
              <w:jc w:val="left"/>
              <w:rPr/>
            </w:pPr>
            <w:r>
              <w:rPr/>
              <w:t> </w:t>
            </w:r>
          </w:p>
        </w:tc>
      </w:tr>
      <w:tr>
        <w:trPr/>
        <w:tc>
          <w:tcPr>
            <w:tcW w:w="6867"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discount(1)</w:t>
            </w:r>
          </w:p>
        </w:tc>
        <w:tc>
          <w:tcPr>
            <w:tcW w:w="22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880" w:type="dxa"/>
            <w:tcBorders/>
            <w:vAlign w:val="bottom"/>
          </w:tcPr>
          <w:p>
            <w:pPr>
              <w:pStyle w:val="TableContents"/>
              <w:bidi w:val="0"/>
              <w:spacing w:before="0" w:after="283"/>
              <w:jc w:val="right"/>
              <w:rPr/>
            </w:pPr>
            <w:r>
              <w:rPr/>
              <w:t>0.478</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566" w:type="dxa"/>
            <w:tcBorders/>
            <w:vAlign w:val="bottom"/>
          </w:tcPr>
          <w:p>
            <w:pPr>
              <w:pStyle w:val="TableContents"/>
              <w:bidi w:val="0"/>
              <w:spacing w:before="0" w:after="283"/>
              <w:jc w:val="right"/>
              <w:rPr/>
            </w:pPr>
            <w:r>
              <w:rPr/>
              <w:t>4,421,500.00</w:t>
            </w:r>
          </w:p>
        </w:tc>
        <w:tc>
          <w:tcPr>
            <w:tcW w:w="64" w:type="dxa"/>
            <w:tcBorders/>
            <w:vAlign w:val="bottom"/>
          </w:tcPr>
          <w:p>
            <w:pPr>
              <w:pStyle w:val="TableContents"/>
              <w:bidi w:val="0"/>
              <w:spacing w:before="0" w:after="283"/>
              <w:jc w:val="left"/>
              <w:rPr/>
            </w:pPr>
            <w:r>
              <w:rPr/>
              <w:t> </w:t>
            </w:r>
          </w:p>
        </w:tc>
      </w:tr>
      <w:tr>
        <w:trPr/>
        <w:tc>
          <w:tcPr>
            <w:tcW w:w="68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the selling stockholder</w:t>
            </w:r>
          </w:p>
        </w:tc>
        <w:tc>
          <w:tcPr>
            <w:tcW w:w="22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11.472</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66" w:type="dxa"/>
            <w:tcBorders/>
            <w:shd w:fill="CCEEFF" w:val="clear"/>
            <w:vAlign w:val="bottom"/>
          </w:tcPr>
          <w:p>
            <w:pPr>
              <w:pStyle w:val="TableContents"/>
              <w:bidi w:val="0"/>
              <w:spacing w:before="0" w:after="283"/>
              <w:jc w:val="right"/>
              <w:rPr/>
            </w:pPr>
            <w:r>
              <w:rPr/>
              <w:t>106,116,000.00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“Underwriting” for additional information regarding compensation payable to the underwriters.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the extent that the underwriters sell more than 9,250,000 shares of our Class A Common Stock, the underwriters have the option for a period of 30 days to purchase up to an additional 1,387,500 shares of Class A Common Stock from the selling stockholder at the public offering price less the underwriting discount. </w:t>
      </w:r>
    </w:p>
    <w:p>
      <w:pPr>
        <w:pStyle w:val="TextBody"/>
        <w:bidi w:val="0"/>
        <w:spacing w:before="12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nor any other regulatory body has approved or disapproved of these securities or passed upon the accuracy or adequacy of this prospectus supplement.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expect to deliver the shares against payment in New York, New York on September 11, 2026. </w:t>
      </w:r>
    </w:p>
    <w:p>
      <w:pPr>
        <w:pStyle w:val="TextBody"/>
        <w:bidi w:val="0"/>
        <w:spacing w:before="120" w:after="0"/>
        <w:jc w:val="center"/>
        <w:rPr>
          <w:rFonts w:ascii="Times New Roman" w:hAnsi="Times New Roman"/>
          <w:b/>
          <w:i/>
          <w:sz w:val="20"/>
        </w:rPr>
      </w:pPr>
      <w:r>
        <w:rPr>
          <w:rFonts w:ascii="Times New Roman" w:hAnsi="Times New Roman"/>
          <w:b/>
          <w:i/>
          <w:sz w:val="20"/>
        </w:rPr>
        <w:t xml:space="preserve">Bookrunners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15"/>
        <w:gridCol w:w="101"/>
        <w:gridCol w:w="4389"/>
      </w:tblGrid>
      <w:tr>
        <w:trPr/>
        <w:tc>
          <w:tcPr>
            <w:tcW w:w="571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389" w:type="dxa"/>
            <w:tcBorders/>
            <w:vAlign w:val="center"/>
          </w:tcPr>
          <w:p>
            <w:pPr>
              <w:pStyle w:val="TableContents"/>
              <w:bidi w:val="0"/>
              <w:spacing w:before="0" w:after="283"/>
              <w:jc w:val="left"/>
              <w:rPr>
                <w:sz w:val="4"/>
                <w:szCs w:val="4"/>
              </w:rPr>
            </w:pPr>
            <w:r>
              <w:rPr>
                <w:sz w:val="4"/>
                <w:szCs w:val="4"/>
              </w:rPr>
            </w:r>
          </w:p>
        </w:tc>
      </w:tr>
      <w:tr>
        <w:trPr/>
        <w:tc>
          <w:tcPr>
            <w:tcW w:w="5715" w:type="dxa"/>
            <w:tcBorders/>
          </w:tcPr>
          <w:p>
            <w:pPr>
              <w:pStyle w:val="TableContents"/>
              <w:bidi w:val="0"/>
              <w:spacing w:before="0" w:after="283"/>
              <w:jc w:val="center"/>
              <w:rPr>
                <w:b/>
              </w:rPr>
            </w:pPr>
            <w:r>
              <w:rPr>
                <w:b/>
              </w:rPr>
              <w:t>Wells Fargo Securities</w:t>
            </w:r>
          </w:p>
        </w:tc>
        <w:tc>
          <w:tcPr>
            <w:tcW w:w="101" w:type="dxa"/>
            <w:tcBorders/>
            <w:vAlign w:val="bottom"/>
          </w:tcPr>
          <w:p>
            <w:pPr>
              <w:pStyle w:val="TableContents"/>
              <w:bidi w:val="0"/>
              <w:spacing w:before="0" w:after="283"/>
              <w:jc w:val="left"/>
              <w:rPr/>
            </w:pPr>
            <w:r>
              <w:rPr/>
              <w:t> </w:t>
            </w:r>
          </w:p>
        </w:tc>
        <w:tc>
          <w:tcPr>
            <w:tcW w:w="4389" w:type="dxa"/>
            <w:tcBorders/>
          </w:tcPr>
          <w:p>
            <w:pPr>
              <w:pStyle w:val="TableContents"/>
              <w:bidi w:val="0"/>
              <w:spacing w:before="0" w:after="283"/>
              <w:jc w:val="center"/>
              <w:rPr>
                <w:b/>
              </w:rPr>
            </w:pPr>
            <w:r>
              <w:rPr>
                <w:b/>
              </w:rPr>
              <w:t>J.P. Morgan</w:t>
            </w:r>
          </w:p>
        </w:tc>
      </w:tr>
    </w:tbl>
    <w:tbl>
      <w:tblPr>
        <w:tblW w:w="5000" w:type="pct"/>
        <w:jc w:val="left"/>
        <w:tblInd w:w="0" w:type="dxa"/>
        <w:tblLayout w:type="fixed"/>
        <w:tblCellMar>
          <w:top w:w="0" w:type="dxa"/>
          <w:left w:w="0" w:type="dxa"/>
          <w:bottom w:w="0" w:type="dxa"/>
          <w:right w:w="0" w:type="dxa"/>
        </w:tblCellMar>
      </w:tblPr>
      <w:tblGrid>
        <w:gridCol w:w="2704"/>
        <w:gridCol w:w="76"/>
        <w:gridCol w:w="2469"/>
        <w:gridCol w:w="76"/>
        <w:gridCol w:w="2703"/>
        <w:gridCol w:w="76"/>
        <w:gridCol w:w="2101"/>
      </w:tblGrid>
      <w:tr>
        <w:trPr/>
        <w:tc>
          <w:tcPr>
            <w:tcW w:w="2704"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2469"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704" w:type="dxa"/>
            <w:tcBorders/>
            <w:vAlign w:val="center"/>
          </w:tcPr>
          <w:p>
            <w:pPr>
              <w:pStyle w:val="TableContents"/>
              <w:bidi w:val="0"/>
              <w:spacing w:before="0" w:after="283"/>
              <w:jc w:val="left"/>
              <w:rPr>
                <w:sz w:val="4"/>
                <w:szCs w:val="4"/>
              </w:rPr>
            </w:pPr>
            <w:r>
              <w:rPr>
                <w:sz w:val="4"/>
                <w:szCs w:val="4"/>
              </w:rPr>
            </w:r>
          </w:p>
        </w:tc>
        <w:tc>
          <w:tcPr>
            <w:tcW w:w="2545" w:type="dxa"/>
            <w:gridSpan w:val="2"/>
            <w:tcBorders/>
            <w:vAlign w:val="center"/>
          </w:tcPr>
          <w:p>
            <w:pPr>
              <w:pStyle w:val="TableContents"/>
              <w:bidi w:val="0"/>
              <w:spacing w:before="0" w:after="283"/>
              <w:jc w:val="left"/>
              <w:rPr>
                <w:sz w:val="4"/>
                <w:szCs w:val="4"/>
              </w:rPr>
            </w:pPr>
            <w:r>
              <w:rPr>
                <w:sz w:val="4"/>
                <w:szCs w:val="4"/>
              </w:rPr>
            </w:r>
          </w:p>
        </w:tc>
        <w:tc>
          <w:tcPr>
            <w:tcW w:w="2779" w:type="dxa"/>
            <w:gridSpan w:val="2"/>
            <w:tcBorders/>
            <w:vAlign w:val="center"/>
          </w:tcPr>
          <w:p>
            <w:pPr>
              <w:pStyle w:val="TableContents"/>
              <w:bidi w:val="0"/>
              <w:spacing w:before="0" w:after="283"/>
              <w:jc w:val="left"/>
              <w:rPr>
                <w:sz w:val="4"/>
                <w:szCs w:val="4"/>
              </w:rPr>
            </w:pPr>
            <w:r>
              <w:rPr>
                <w:sz w:val="4"/>
                <w:szCs w:val="4"/>
              </w:rPr>
            </w:r>
          </w:p>
        </w:tc>
        <w:tc>
          <w:tcPr>
            <w:tcW w:w="2177" w:type="dxa"/>
            <w:gridSpan w:val="2"/>
            <w:tcBorders/>
            <w:vAlign w:val="center"/>
          </w:tcPr>
          <w:p>
            <w:pPr>
              <w:pStyle w:val="TableContents"/>
              <w:bidi w:val="0"/>
              <w:spacing w:before="0" w:after="283"/>
              <w:jc w:val="left"/>
              <w:rPr>
                <w:sz w:val="4"/>
                <w:szCs w:val="4"/>
              </w:rPr>
            </w:pPr>
            <w:r>
              <w:rPr>
                <w:sz w:val="4"/>
                <w:szCs w:val="4"/>
              </w:rPr>
            </w:r>
          </w:p>
        </w:tc>
      </w:tr>
      <w:tr>
        <w:trPr/>
        <w:tc>
          <w:tcPr>
            <w:tcW w:w="2704" w:type="dxa"/>
            <w:tcBorders/>
          </w:tcPr>
          <w:p>
            <w:pPr>
              <w:pStyle w:val="TableContents"/>
              <w:bidi w:val="0"/>
              <w:spacing w:before="0" w:after="0"/>
              <w:jc w:val="left"/>
              <w:rPr>
                <w:rFonts w:ascii="Times New Roman" w:hAnsi="Times New Roman"/>
                <w:b/>
                <w:sz w:val="24"/>
              </w:rPr>
            </w:pPr>
            <w:r>
              <w:rPr>
                <w:rFonts w:ascii="Times New Roman" w:hAnsi="Times New Roman"/>
                <w:b/>
                <w:sz w:val="24"/>
              </w:rPr>
              <w:t>Keefe, Bruyette &amp; Woods</w:t>
            </w:r>
          </w:p>
          <w:p>
            <w:pPr>
              <w:pStyle w:val="TableContents"/>
              <w:bidi w:val="0"/>
              <w:spacing w:before="0" w:after="20"/>
              <w:jc w:val="left"/>
              <w:rPr/>
            </w:pPr>
            <w:r>
              <w:rPr/>
              <w:t>    </w:t>
            </w:r>
            <w:r>
              <w:rPr>
                <w:rFonts w:ascii="Times New Roman" w:hAnsi="Times New Roman"/>
                <w:i/>
                <w:sz w:val="24"/>
              </w:rPr>
              <w:t>A Stifel Company</w:t>
            </w:r>
          </w:p>
        </w:tc>
        <w:tc>
          <w:tcPr>
            <w:tcW w:w="76" w:type="dxa"/>
            <w:tcBorders/>
            <w:vAlign w:val="bottom"/>
          </w:tcPr>
          <w:p>
            <w:pPr>
              <w:pStyle w:val="TableContents"/>
              <w:bidi w:val="0"/>
              <w:spacing w:before="0" w:after="283"/>
              <w:jc w:val="left"/>
              <w:rPr/>
            </w:pPr>
            <w:r>
              <w:rPr/>
              <w:t> </w:t>
            </w:r>
          </w:p>
        </w:tc>
        <w:tc>
          <w:tcPr>
            <w:tcW w:w="2469" w:type="dxa"/>
            <w:tcBorders/>
          </w:tcPr>
          <w:p>
            <w:pPr>
              <w:pStyle w:val="TableContents"/>
              <w:bidi w:val="0"/>
              <w:spacing w:before="0" w:after="283"/>
              <w:jc w:val="center"/>
              <w:rPr>
                <w:b/>
              </w:rPr>
            </w:pPr>
            <w:r>
              <w:rPr>
                <w:b/>
              </w:rPr>
              <w:t>BMO Capital Markets</w:t>
            </w:r>
          </w:p>
        </w:tc>
        <w:tc>
          <w:tcPr>
            <w:tcW w:w="76" w:type="dxa"/>
            <w:tcBorders/>
            <w:vAlign w:val="bottom"/>
          </w:tcPr>
          <w:p>
            <w:pPr>
              <w:pStyle w:val="TableContents"/>
              <w:bidi w:val="0"/>
              <w:spacing w:before="0" w:after="283"/>
              <w:jc w:val="left"/>
              <w:rPr/>
            </w:pPr>
            <w:r>
              <w:rPr/>
              <w:t> </w:t>
            </w:r>
          </w:p>
        </w:tc>
        <w:tc>
          <w:tcPr>
            <w:tcW w:w="2703" w:type="dxa"/>
            <w:tcBorders/>
          </w:tcPr>
          <w:p>
            <w:pPr>
              <w:pStyle w:val="TableContents"/>
              <w:bidi w:val="0"/>
              <w:spacing w:before="0" w:after="283"/>
              <w:jc w:val="right"/>
              <w:rPr>
                <w:b/>
              </w:rPr>
            </w:pPr>
            <w:r>
              <w:rPr>
                <w:b/>
              </w:rPr>
              <w:t>Citizens Capital Markets</w:t>
            </w:r>
          </w:p>
        </w:tc>
        <w:tc>
          <w:tcPr>
            <w:tcW w:w="76" w:type="dxa"/>
            <w:tcBorders/>
            <w:vAlign w:val="bottom"/>
          </w:tcPr>
          <w:p>
            <w:pPr>
              <w:pStyle w:val="TableContents"/>
              <w:bidi w:val="0"/>
              <w:spacing w:before="0" w:after="283"/>
              <w:jc w:val="left"/>
              <w:rPr/>
            </w:pPr>
            <w:r>
              <w:rPr/>
              <w:t> </w:t>
            </w:r>
          </w:p>
        </w:tc>
        <w:tc>
          <w:tcPr>
            <w:tcW w:w="2101" w:type="dxa"/>
            <w:tcBorders/>
          </w:tcPr>
          <w:p>
            <w:pPr>
              <w:pStyle w:val="TableContents"/>
              <w:bidi w:val="0"/>
              <w:spacing w:before="0" w:after="283"/>
              <w:jc w:val="right"/>
              <w:rPr>
                <w:b/>
              </w:rPr>
            </w:pPr>
            <w:r>
              <w:rPr>
                <w:b/>
              </w:rPr>
              <w:t>Oppenheimer &amp; Co.</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0"/>
        </w:rPr>
      </w:pPr>
      <w:r>
        <w:rPr>
          <w:rFonts w:ascii="Times New Roman" w:hAnsi="Times New Roman"/>
          <w:b/>
          <w:sz w:val="20"/>
        </w:rPr>
        <w:t xml:space="preserve">The date of this prospectus supplement is September 9,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center"/>
              <w:rPr>
                <w:rFonts w:ascii="Times New Roman" w:hAnsi="Times New Roman"/>
                <w:b/>
                <w:sz w:val="20"/>
              </w:rPr>
            </w:pPr>
            <w:r>
              <w:rPr>
                <w:rFonts w:ascii="Times New Roman" w:hAnsi="Times New Roman"/>
                <w:b/>
                <w:sz w:val="20"/>
              </w:rPr>
              <w:t>Prospectus Supplement</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9460" w:type="dxa"/>
            <w:tcBorders/>
            <w:vAlign w:val="center"/>
          </w:tcPr>
          <w:p>
            <w:pPr>
              <w:pStyle w:val="TableContents"/>
              <w:bidi w:val="0"/>
              <w:spacing w:before="0" w:after="283"/>
              <w:jc w:val="left"/>
              <w:rPr>
                <w:sz w:val="4"/>
                <w:szCs w:val="4"/>
              </w:rPr>
            </w:pPr>
            <w:r>
              <w:rPr>
                <w:sz w:val="4"/>
                <w:szCs w:val="4"/>
              </w:rPr>
            </w:r>
          </w:p>
        </w:tc>
        <w:tc>
          <w:tcPr>
            <w:tcW w:w="745" w:type="dxa"/>
            <w:gridSpan w:val="4"/>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toc111580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11580_2">
              <w:r>
                <w:rPr>
                  <w:rStyle w:val="InternetLink"/>
                  <w:rFonts w:ascii="Times New Roman" w:hAnsi="Times New Roman"/>
                  <w:sz w:val="20"/>
                </w:rPr>
                <w:t>CAUTIONARY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11580_3">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11580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11580_5">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11580_6">
              <w:r>
                <w:rPr>
                  <w:rStyle w:val="InternetLink"/>
                  <w:rFonts w:ascii="Times New Roman" w:hAnsi="Times New Roman"/>
                  <w:sz w:val="20"/>
                </w:rPr>
                <w:t>DIVIDEND POLICY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11580_7">
              <w:r>
                <w:rPr>
                  <w:rStyle w:val="InternetLink"/>
                  <w:rFonts w:ascii="Times New Roman" w:hAnsi="Times New Roman"/>
                  <w:sz w:val="20"/>
                </w:rPr>
                <w:t>SELLING STOCKHOLDER</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11580_8">
              <w:r>
                <w:rPr>
                  <w:rStyle w:val="InternetLink"/>
                  <w:rFonts w:ascii="Times New Roman" w:hAnsi="Times New Roman"/>
                  <w:sz w:val="20"/>
                </w:rPr>
                <w:t>MATERIAL U.S. FEDERAL INCOME TAX CONSEQUENCES TO NON-U.S. 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11580_9">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11580_10">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11580_11">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11580_12">
              <w:r>
                <w:rPr>
                  <w:rStyle w:val="InternetLink"/>
                  <w:rFonts w:ascii="Times New Roman" w:hAnsi="Times New Roman"/>
                  <w:sz w:val="20"/>
                </w:rPr>
                <w:t>WHERE YOU CAN FIND ADDITIONAL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111580_13">
              <w:r>
                <w:rPr>
                  <w:rStyle w:val="InternetLink"/>
                  <w:rFonts w:ascii="Times New Roman" w:hAnsi="Times New Roman"/>
                  <w:sz w:val="20"/>
                </w:rPr>
                <w:t>INCORPORATION OF CERTAIN INFORMATION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S-34</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rom111580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111580_2">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iii</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111580_3">
              <w:r>
                <w:rPr>
                  <w:rStyle w:val="InternetLink"/>
                  <w:rFonts w:ascii="Times New Roman" w:hAnsi="Times New Roman"/>
                  <w:sz w:val="20"/>
                </w:rPr>
                <w:t>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111580_4">
              <w:r>
                <w:rPr>
                  <w:rStyle w:val="InternetLink"/>
                  <w:rFonts w:ascii="Times New Roman" w:hAnsi="Times New Roman"/>
                  <w:sz w:val="20"/>
                </w:rPr>
                <w:t>THE OFFERING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111580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111580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111580_7">
              <w:r>
                <w:rPr>
                  <w:rStyle w:val="InternetLink"/>
                  <w:rFonts w:ascii="Times New Roman" w:hAnsi="Times New Roman"/>
                  <w:sz w:val="20"/>
                </w:rPr>
                <w:t>DESCRIPTION OF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111580_8">
              <w:r>
                <w:rPr>
                  <w:rStyle w:val="InternetLink"/>
                  <w:rFonts w:ascii="Times New Roman" w:hAnsi="Times New Roman"/>
                  <w:sz w:val="20"/>
                </w:rPr>
                <w:t>SELLING SECURITYHOLDERS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111580_9">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111580_10">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111580_11">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111580_12">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111580_13">
              <w:r>
                <w:rPr>
                  <w:rStyle w:val="InternetLink"/>
                  <w:rFonts w:ascii="Times New Roman" w:hAnsi="Times New Roman"/>
                  <w:sz w:val="20"/>
                </w:rPr>
                <w:t>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in, or incorporated by reference in, this prospectus supplement, the accompanying prospectus and any free writing prospectus that we may provide to you in connection with this offering. Neither we, the selling stockholder nor the underwriters has authorized anyone to provide you with different information or to make any other representations, and we, the selling stockholder and the underwriters take no responsibility for, and can provide no assurance as to the reliability of, any other information others may give you. You should not assume that the information contained in, or incorporated by reference in, this prospectus supplement is accurate as of any date other than its date. Our business, financial condition, results of operations and prospects may have changed since that date. </w:t>
      </w:r>
    </w:p>
    <w:p>
      <w:pPr>
        <w:pStyle w:val="TextBody"/>
        <w:bidi w:val="0"/>
        <w:spacing w:before="240" w:after="0"/>
        <w:jc w:val="left"/>
        <w:rPr>
          <w:rFonts w:ascii="Times New Roman" w:hAnsi="Times New Roman"/>
          <w:b/>
          <w:sz w:val="20"/>
        </w:rPr>
      </w:pPr>
      <w:r>
        <w:rPr>
          <w:rFonts w:ascii="Times New Roman" w:hAnsi="Times New Roman"/>
          <w:b/>
          <w:sz w:val="20"/>
        </w:rPr>
        <w:t xml:space="preserve">For investors outside the United States: Neither we, the selling stockholder nor any of the underwriters has done anything that would permit this offering or the possession or distribution of this prospectus supplement, the accompanying prospectus or any free writing prospectus that we may provide you in connection with this offering in any jurisdiction where action for those purposes is required, other than in the United States. Persons outside of the United States who come into possession of this prospectus supplement, the accompanying prospectus or any free writing prospectus that we may provide you in connection with this offering must inform themselves about, and observe any restrictions relating to, this offering and the distribution of this prospectus supplement outside of the United States. The selling stockholder is not, and the underwriters are not, making an offer to sell these securities in any jurisdiction where the offer or sale is not permitted.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toc111580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a registration statement on Form S-1 (File No. 333-261810), which was originally declared effective by the U.S. Securities and Exchange Commission (the “SEC”) on December 30, 2021 and subsequently amended and converted into a registration statement on Form S-3 that was declared effective on February 7, 2023 (as amended,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consists of two parts. The first part is this prospectus supplement, which describes certain specific terms related to the sale of Class A Common Stock by the selling stockholder. The second part is the accompanying prospectus, which gives more general information, some of which may not apply to this offering. Generally, when we refer to “prospectus supplement” or to the “accompanying prospectus,” we are referring to such documents inclusive of any documents incorporated by reference herein or therein. Generally, when we refer to the “prospectus,” we are referring to the prospectus supplement and the accompanying prospectus combined. This prospectus supplement may add to, update or change information in the accompanying prospectus and in the documents incorporated by reference into this prospectus supplement or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we no longer qualify as an “emerging growth company” defined under the federal securities laws. As a result, the statements in the accompanying prospectus regarding our status as an emerging growth company, including the discussion of reduced reporting obligations and the extended transition period for new or revised accounting standards, no longer apply. We are now subject to the reporting and other requirements generally applicable to public companies that are not emerging growth companies, including the requirement to provide an auditor attestation report on internal control over financial reporting pursuant to Section 404(b)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If information in this prospectus supplement is inconsistent with the accompanying prospectus or with any document incorporated by reference that was filed with the SEC before the date of this prospectus supplement, you should rely on this prospectus supplement. Neither we, the selling stockholder nor the underwriters has authorized anyone to provide you with different information or to make any representations. This prospectus supplement, the accompanying prospectus and the documents incorporated by reference into each include important information about us, the selling stockholder, the Class A Common Stock being offered and other information you should know before investing. You should also read and consider information in the documents we have referred you to in the sections of this prospectus supplement titled “Where You Can Find Additional Information” and “Incorporation of Certain Information by Reference” and in the sections of the accompanying prospectus titled “Where You Can Find More Information”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and the selling stockholder in any agreement that is filed as an exhibit to the Registration Statement or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subject to contractual standards of accuracy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and the underwriters are offering to sell, and seeking offers to buy, shares of our Class A Common Stock only under circumstances and in jurisdictions where it is lawful to do so. The distribution of this prospectus and the offering of shares of our Class A Common Stock in certain jurisdictions may be restricted by law. This prospectus does not constitute, and may not be used in connection with, an offer to sell, or a solicitation of an offer to buy, any Class A Common Stock offered by this prospectus by any person in any jurisdiction in which it is unlawful for such person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References in this prospectus to “the Company,” “we,” “our,” “us,” “Hagerty” (without further designation) or like terms refer to Hagerty, Inc.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toc111580_2"/>
      <w:bookmarkEnd w:id="4"/>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contains or incorporates by reference certain statements that are “forward-looking statements” as that term is defined under the Private Securities Litigation Reform Act of 1995 and releases issued by the SEC. All statements other than statements of historical facts contained or incorporated by reference in this prospectus are forward-looking statements. In some cases, you can identify forward-looking statements because they contain words such as “may,” “will,” “should,” “expects,” “plans,” “anticipates,” “could,” “intends,” “target,” “projects,” “contemplates,” “believes,” “estimates,” “predicts,” “would,” “potential” or “continue” or the negative of these words or other similar terms or expressions that concern our expectations, strategy, plans or intentions. These forward-looking statements include, among others, statements relating to our future financial performance, our business prospects and strategy, our market opportunity and the potential growth of that market, our anticipated financial position, our liquidity and capital needs, plans and objectives of management for future operations, and other similar matters. These forward-looking statements are based on management’s current expectations and assumptions about future events, which are inherently subject to uncertainties, risks and changes in circumstances that are difficult to predict. </w:t>
      </w:r>
    </w:p>
    <w:p>
      <w:pPr>
        <w:pStyle w:val="TextBody"/>
        <w:bidi w:val="0"/>
        <w:spacing w:before="240" w:after="0"/>
        <w:jc w:val="left"/>
        <w:rPr>
          <w:rFonts w:ascii="Times New Roman" w:hAnsi="Times New Roman"/>
          <w:sz w:val="20"/>
        </w:rPr>
      </w:pPr>
      <w:r>
        <w:rPr>
          <w:rFonts w:ascii="Times New Roman" w:hAnsi="Times New Roman"/>
          <w:sz w:val="20"/>
        </w:rPr>
        <w:t xml:space="preserve">Our actual results may differ materially from those expressed in, or implied by, the forward-looking statements included or incorporated by reference in this prospectus as a result of various factors, including, among others, our ability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compete effectively within our industry and attract and retain our insurance policyholders and paid Hagerty Drivers Club (“HDC”) subscribers (collectively,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key strategic relationships with our insurance distribution and underwriting carrier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prevent, monitor, and detect fraudulent activity;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 risks associated with disruptions, interruptions, outages or other issues with our technology platforms or our use of third-party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accelerate the adoption of our membership and marketplace products and services, as well as any new insurance programs and products we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successfully implement the fronting arrangement (the “Markel Fronting Arrangement”) consummated with Markel Group Inc. (f/k/a Markel Corporation) (together with its subsidiaries, “Markel”) and realize the anticipated benefits while also managing the increased exposure to underwriting volatility, catastrophes, reinsurance counterparty risk, and legal, compliance, and regulatory risks resulting from the shift to our wholly owned subsidiary, Hagerty Reinsurance Limited (“Hagerty Re”), assuming 100% of the risk for policies written through this arrangement;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underwrite and price new products, including Enthusiast+, consistent with expected loss ratios and risk tolerances;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 Broad Arrow Group, Inc.’s (“Broad Arrow”) private sale, auction, and financing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 acquisitions or investments, such as the acquisition of Bennetts Motorcycling Services Limited, on the expected terms or timeline, or at all, or realize the anticipated benefits of these acquisitions and investments, including expected earnings enhancements and synergies;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 the cyclical nature of the insurance business and broader macroeconomic conditions, including inflation, interest rates, and potential recessionary pressures;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achieve our investment objectives and avoid losses in our investment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address unexpected increases in the frequency or severity of claims, including catastrophe losses;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the numerous laws and regulations applicable to our business, including without limitation state, federal, and foreign laws relating to insurance and rate increases, privacy and cybersecurity, marketing and advertising, digital services, accounting matters, tax, anti-money laundering, and economic sanctions;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avoid or manage any of the risks discussed under the section titled “Risk Factors” in this prospectus supplement, the accompanying prospectus and in other documents we filed or will file from time to time with the SEC, including those that are incorporated by reference 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based the forward-looking statements contained or incorporated by reference in this prospectus primarily on our current expectations and projections about future events and trends that we believe may affect our business, financial condition, results of operations, prospects, business strategy and financial needs. The list of factors provided above is not exhaustive. Other sections of this prospectus (including the documents incorporated by reference) include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prospectus. We cannot assure you that the results, events and circumstances reflected in the forward-looking statements will be achieved or occur, and actual results, events or circumstances could differ materially from those described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supplement with the understanding that our actual future results, levels of activity, performance and achievements may be materially different from what we expect. We qualify all of our forward-looking statements by these cautionary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made in this prospectus supplement relate only to events as of the date on which such statements are made. We undertake no obligation to update any forward-looking statements after the date of this prospectus supplement or to conform such statements to actual results or revised expectations,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toc111580_3"/>
      <w:bookmarkEnd w:id="5"/>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appearing elsewhere in this prospectus supplement or the accompanying prospectus or incorporated by reference in this prospectus supplement and the accompanying prospectus, and does not contain all of the information that you need to consider in making your investment decision. You should carefully read the entire prospectus supplement, accompanying prospectus and any related free writing prospectus, including the risks of investing in our securities discussed under the section titled “Risk Factors” contained in this prospectus supplement, the accompanying prospectus and any related free writing prospectus, and under similar headings in the other documents that are incorporated by reference into this prospectus supplement and the accompanying prospectus. You should also carefully read the information incorporated by reference into this prospectus supplement and accompanying prospectus, including our financial statements, and the exhibits to the Registration Statement of which this prospectus supplement and accompanying prospectus are a part.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market leader in providing insurance for collector cars and enthusiast vehicles. Through our insurance model, our wholly owned subsidiary, Hagerty Re, reinsures collector car and enthusiast vehicle insurance risks. Hagerty Re reinsures risks predominantly from policies issued by Essentia Insurance Company, a subsidiary of Markel. We also operate as a managing general agent (“MGA”) by underwriting, selling, and servicing collector car and enthusiast vehicle insurance policies on behalf of insurance carriers, including Hagerty Re under the Markel Fronting Arrangement. Our insurance products are complemented by our membership product, HDC, our renowned car events, and our media and entertainment platforms. As of June 30, 2026, we had more than 960,000 HDC members, reflecting the strength and reach of our community.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backbone of our ecosystem is our fast-growing specialty insurance business. People take excellent care of the things they love, and we take great pride in protecting and preserving their treasured vehicles. For over 40 years, we have consistently grown our insurance business and currently insure 3.0 million collector cars and enthusiast vehicles. We have built a strong reputation for providing excellent customer service through our passionate team of member service center professionals, resulting in an insurance policy retention rate approaching 90% and a typical policy life of approximately nine years. The scale and persistency of our member base is the foundation of our model. As of June 30, 2026, we had 1.9 million policies in force, up 19.0% year over year. For the six months ended June 30, 2026, Total Written Premium increased 18.8% to $713 million and Hagerty Re’s net earned premium increased 41.6% reflecting both the increase in our quota share to 100% under the Markel Fronting Arrangement and continued growth in premium written by our MGA subsidiaries.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Complementing our insurance offerings, we operate a trusted marketplace where collectors and enthusiasts can buy and sell a wide range of vehicles, from entry level enthusiast vehicles to high value collector cars. Through our marketplace, we also provide financing solutions by structuring and issuing loans secured by collector cars.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Together, our integrated automotive ecosystem fosters a vibrant community where enthusiasts connect, share their passion, and access resources that enhance their ownership experience. Our vision is to be the world’s most trusted and preferred brand for automotive enthusiasts to insure, buy, sell, and enjoy their special cars.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Industry and Market Opportunity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established ourselves as one of the leading providers of collector car and enthusiast vehicle insurance with an overall market share of approximately 7% within the United States (“U.S.”) collector car and enthusiast vehicle market of approximately 36 million vehicles. This includes an estimated market share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approximately 15% for pre-1981 classic vehicles in the U.S. and an estimated U.S. market share for post-1980 collectible vehicles of approximately 3%. On this basis, we estimate that as of December 31, 2025, our U.S. target market of collector cars and enthusiast vehicles represents approximately $15 billion of annual written premium based on our average vehicle premium of $423 per year. Over the last decade through December 31, 2025, we have increased our written premium by a compound annual growth rate of 14%, powered primarily by strong growth in the number of our insurance policies in force.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that our strong brand and value proposition focused on our “Guaranteed Value” insurance policies position us well to capture a larger share of this growing market over the coming decade, including through our acquisition of Drivers Edge Insurance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order to fully capitalize on this opportunity, we perform a data-driven member and vehicle analysis to understand vehicle ownership data, demographic data, vehicle usage, and values. Based upon this analysis, we are able to identify key vehicle markets, explore additional opportunities within these markets, and overlay demographic and usage data to enrich our approach and leverage the information to better serve the automotive enthusiast community.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Organizational Structure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Hagerty, Inc. was formed as a Delaware corporation in December 2020 for the purpose of a business combination, which we completed in December 2021 (“Business Combination”), with Aldel Financial Inc., a publicly traded special purpose acquisition company, and The Hagerty Group, LLC (“OpCo”), a Delaware limited liability company through which Hagerty’s legacy and current business operations are primarily conducted. The Business Combination established what is sometimes referred to as an “Up-C” structure, with Hagerty, Inc. as a holding company that principally owns OpCo and acts as the sole managing member of OpCo, operating and conducting Hagerty’s business through its control of OpCo.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Business Combination, Hagerty, Inc. entered into an Exchange Agreement (the “Exchange Agreement”) with OpCo, Markel, and HHC (HHC and Markel together, the “Legacy Unit Holders”). Pursuant to the Exchange Agreement, the Legacy Unit Holders have the right, from time to time and subject to the terms and conditions of the Exchange Agreement, to surrender paired interests for, at our option, newly issued shares of Hagerty, Inc.’s Class A Common Stock or cash (each, a “Redemption”). In lieu of effecting a Redemption, we may elect to directly exchange shares of our Class A Common Stock or cash for OpCo Units (such an exchange, together with a Redemption, an “Exchange”). Shares of our Class V Common Stock will be cancelled on a one-for-one basis in connection with any Exchange of OpCo Units pursuant to the Exchange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HHC Exchange will occur prior to the consummation of this offering. In addition, contingent upon and prior to the consummation of this offering, Markel is expected to exchange 7,269,685 paired interests, consisting of 7,269,685 OpCo Units and an equal number of shares of Class V Common Stock, for 7,269,685 shares of Class A Common Stock pursuant to the Exchange Agreement (or 7,836,411 paired interests and 7,836,411 shares if the underwriters exercise their option to purchase additional shares in full) (the “Markel Exchange”). Markel is conducting the Markel Exchange in order to maintain compliance with regulatory requirements and will not sell any shares of Class A Common Stock in this offering.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Tax Receivable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 Exchange, including the HHC Exchange and the Markel Exchange, is expected to produce favorable tax attributes for us. These tax attributes would not be available to us in the absence of the Exchange. We are party to a tax receivable agreement with Markel and HHC (the “TRA”), which generally provides for payment by us to one or more parties to the TRA of 85% of any net savings in U.S. federal, state and local taxes that are measured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by our income or profits that we actually realize as a result of (i) certain increases in tax basis that occur as a result of our acquisition (or deemed acquisition for U.S. federal income tax purposes) of all or a portion of OpCo Units of equity pursuant to any exercise of rights under the Exchange Agreement and (ii) imputed interest deemed to be paid by us as a result of, and additional tax basis arising from, any payments we make under the TRA. Hagerty will retain the benefit of any remaining net cash savings. We expect that the payments required under the TRA could be substantial. Estimating the amount and timing of realization of tax benefits subject to the TRA is by its nature imprecise. As of June 30, 2026, the estimated value of the liability related to the TRA was approximately $38.3 million and during the six months ended June 30, 2026, Hagerty, Inc. made TRA payments of $1.5 million to the Legacy Unit Holders. We expect the HHC Exchange and the Markel Exchange to create additional TRA payment obligations to the Legacy Unit Holders. See “Risk Factors—Risks Related to Tax” in our Annual Report on Form 10-K for the year ended December 31, 2025, as filed with the SEC on February 26, 2026.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With a rich heritage spanning over 40 years, the first Hagerty company was founded in 1984. Hagerty, Inc., a Delaware corporation, was formed in 2020 and became a public company traded on the NYSE in 2021 under the ticker symbol “HGTY.”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121 Drivers Edge, Traverse City, Michigan 49684, and our telephone number is (800) 922-4050. We maintain a website at </w:t>
      </w:r>
      <w:r>
        <w:rPr>
          <w:rFonts w:ascii="Times New Roman" w:hAnsi="Times New Roman"/>
          <w:i/>
          <w:sz w:val="20"/>
          <w:bdr w:val="single" w:sz="8" w:space="1" w:color="000000"/>
        </w:rPr>
        <w:t>Hagerty.com</w:t>
      </w:r>
      <w:r>
        <w:rPr>
          <w:rFonts w:ascii="Times New Roman" w:hAnsi="Times New Roman"/>
          <w:sz w:val="20"/>
          <w:bdr w:val="single" w:sz="8" w:space="1" w:color="000000"/>
        </w:rPr>
        <w:t xml:space="preserve"> where general information about us is available. The information contained on, or that may be accessed through, our website is not part of, and is not incorporated into, this prospectus or the Registration Statement of which it forms a part, and the inclusion of our website address in this prospectus supplement and the accompanying prospectus is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Class A Common Stock offered by the selling stockholder </w:t>
            </w:r>
          </w:p>
        </w:tc>
        <w:tc>
          <w:tcPr>
            <w:tcW w:w="6328" w:type="dxa"/>
            <w:tcBorders/>
          </w:tcPr>
          <w:p>
            <w:pPr>
              <w:pStyle w:val="TableContents"/>
              <w:bidi w:val="0"/>
              <w:spacing w:before="0" w:after="283"/>
              <w:jc w:val="left"/>
              <w:rPr/>
            </w:pPr>
            <w:r>
              <w:rPr/>
              <w:t xml:space="preserve">9,250,000 shares (or 10,637,500 shares if the underwriters exercise their option to purchase additional shares in full) of Class A Common Stock issued in the HHC Exchange (as described below) on a one-for-one basis for OpCo Units delivered together with an equal number of shares of Class V Common Stock. Any shares of Class V Common Stock so delivered will be cancelled.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For more information, please see “Description of Securities” included in the accompanying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Class A Common Stock to be outstanding after this offering </w:t>
            </w:r>
          </w:p>
        </w:tc>
        <w:tc>
          <w:tcPr>
            <w:tcW w:w="6326" w:type="dxa"/>
            <w:tcBorders/>
          </w:tcPr>
          <w:p>
            <w:pPr>
              <w:pStyle w:val="TableContents"/>
              <w:bidi w:val="0"/>
              <w:spacing w:before="0" w:after="283"/>
              <w:jc w:val="left"/>
              <w:rPr/>
            </w:pPr>
            <w:r>
              <w:rPr/>
              <w:t xml:space="preserve">118,324,623 shares (or 120,278,849 shares if the underwriters exercise their option to purchase additional shares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Class V Common Stock to be outstanding after this offering </w:t>
            </w:r>
          </w:p>
        </w:tc>
        <w:tc>
          <w:tcPr>
            <w:tcW w:w="6326" w:type="dxa"/>
            <w:tcBorders/>
          </w:tcPr>
          <w:p>
            <w:pPr>
              <w:pStyle w:val="TableContents"/>
              <w:bidi w:val="0"/>
              <w:spacing w:before="0" w:after="283"/>
              <w:jc w:val="left"/>
              <w:rPr/>
            </w:pPr>
            <w:r>
              <w:rPr/>
              <w:t xml:space="preserve">225,032,471 shares (or 223,078,245 shares if the underwriters exercise their option to purchase additional shares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Shares of Class V Common Stock are paired with a corresponding OpCo Unit. Following this offering, we will own 34.1% of outstanding OpCo Units (or 34.7% of outstanding OpCo Units if the underwriters exercise their option to purchase additional shares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Voting power </w:t>
            </w:r>
          </w:p>
        </w:tc>
        <w:tc>
          <w:tcPr>
            <w:tcW w:w="6329" w:type="dxa"/>
            <w:tcBorders/>
          </w:tcPr>
          <w:p>
            <w:pPr>
              <w:pStyle w:val="TableContents"/>
              <w:bidi w:val="0"/>
              <w:spacing w:before="0" w:after="283"/>
              <w:jc w:val="left"/>
              <w:rPr/>
            </w:pPr>
            <w:r>
              <w:rPr/>
              <w:t xml:space="preserve">Shares of Class V Common Stock have 10 votes per share and shares of Class A Common Stock have one vote per share. HHC and Markel currently hold all of the Class V Common Stock and, because of the 10-to-1 voting ratio, hold a substantial majority of the voting power of our outstanding capital stock. After this offering, (i) holders of Class V Common Stock will continue to control all matters submitted to our stockholders, and (ii) HHC will continue to control more than 50% of the voting power for the election of directors such that we will qualify as a “controlled company” under NYSE listing requirements.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will not receive any proceeds from the sale of the shares of Class A Common Stock by the selling stockholder.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HHC Exchange </w:t>
            </w:r>
          </w:p>
        </w:tc>
        <w:tc>
          <w:tcPr>
            <w:tcW w:w="6328" w:type="dxa"/>
            <w:tcBorders/>
          </w:tcPr>
          <w:p>
            <w:pPr>
              <w:pStyle w:val="TableContents"/>
              <w:bidi w:val="0"/>
              <w:spacing w:before="0" w:after="283"/>
              <w:jc w:val="left"/>
              <w:rPr/>
            </w:pPr>
            <w:r>
              <w:rPr/>
              <w:t xml:space="preserve">The Legacy Unit Holders have the right from time to time, on the terms and conditions contained in the Exchange Agreement, to conduct a Redemption, which we may effect through an Exchange. In this offering, HHC is selling 9,250,000 shares of Class A Common Stock (or 10,637,500 shares if the underwriters exercise their option to purchase additional shares in full) being acquired in the HHC Exchange that will occur prior to the consummation of this offering. See “Selling Stockholder” in this prospectus supplement and “Description of Securities—Authorized and Outstanding Stock—Exchange of Shares” in the accompanying 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HHC is beneficially owned by members of the Hagerty family, including McKeel Hagerty, our Chief Executive Officer (“CEO”), Tammy Hagerty, Mr. Hagerty’s sister, and the Kim Hagerty Revocable Trust, a trust established for the benefit of the late Kim Hagerty’s family and charitable purposes. HHC has advised us that the net proceeds from the sale of its shares in this offering will be used to effect a redemption, for the benefit of the Kim Hagerty Revocable Trust, of a corresponding number of its HHC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Markel Exchange </w:t>
            </w:r>
          </w:p>
        </w:tc>
        <w:tc>
          <w:tcPr>
            <w:tcW w:w="6327" w:type="dxa"/>
            <w:tcBorders/>
          </w:tcPr>
          <w:p>
            <w:pPr>
              <w:pStyle w:val="TableContents"/>
              <w:bidi w:val="0"/>
              <w:spacing w:before="0" w:after="283"/>
              <w:jc w:val="left"/>
              <w:rPr/>
            </w:pPr>
            <w:r>
              <w:rPr/>
              <w:t xml:space="preserve">Contingent on and prior to the consummation of this offering, Markel is expected to exchange 7,269,685 paired interests, consisting of 7,269,685 OpCo Units and an equal number of shares of Class V Common Stock, for 7,269,685 shares of Class A Common Stock pursuant to the Exchange Agreement (or 7,836,411 paired interests and 7,836,411 shares if the underwriters exercise their option to purchase additional shares in full). Markel is conducting the Markel Exchange in order to maintain compliance with regulatory requirements and will not sell any shares of Class A Common Stock in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You should read the section titled “Risk Factors” in this prospectus supplement and in the accompanying prospectus, the other information included elsewhere in this prospectus and the risks discussed under similar headings contained in our reports filed with the SEC and incorporated by reference in this prospectus, for a discussion of some of the risks and uncertainties you should carefully consider before deciding to invest in our Class A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NYSE symbol </w:t>
            </w:r>
          </w:p>
        </w:tc>
        <w:tc>
          <w:tcPr>
            <w:tcW w:w="6329" w:type="dxa"/>
            <w:tcBorders/>
          </w:tcPr>
          <w:p>
            <w:pPr>
              <w:pStyle w:val="TableContents"/>
              <w:bidi w:val="0"/>
              <w:spacing w:before="0" w:after="283"/>
              <w:jc w:val="left"/>
              <w:rPr/>
            </w:pPr>
            <w:r>
              <w:rPr/>
              <w:t>“</w:t>
            </w:r>
            <w:r>
              <w:rPr/>
              <w:t xml:space="preserve">HGTY”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Class A Common Stock outstanding after this offering is based on 101,804,938 shares of Class A Common Stock outstanding as of June 30, 2026, plus 9,250,000 shares of our Class A Common Stock issuable upon the HHC Exchange (or 10,637,500 shares if the underwriters exercise their option to purchase additional shares in full), plus 7,269,685 shares of our Class A Common Stock issuable upon the Markel Exchange (or 7,836,411 shares if the underwriters exercise their option to purchase additional shares in full), and excludes, in each case as of June 30, 2026: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8,525,325 shares of Class A Common Stock issuable upon the vesting and settlement of outstanding restricted stock units and performance-based restricted stock units;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24,733,809 shares of our Class A Common Stock reserved for issuance pursuant to future awards under our 2021 Stock Incentive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11,179,666 shares of our Class A Common Stock reserved for issuance pursuant to future awards under our 2021 Employee Stock Purchase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6,785,410 shares of Class A Common Stock issuable upon the conversion of 8,483,561 shares of Series A Convertible Preferred Stock outstanding;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225,032,471 shares of our Class A Common Stock reserved for issuance pursuant to exchanges of paired interests from time to time, which consisted of the 241,552,156 shares reserved as of June 30, 2026 reduced by the 9,250,000 shares issuable upon the HHC Exchange (or 10,637,500 shares if the underwriters exercise their option to purchase additional shares in full) and the 7,269,685 shares issuable upon the Markel Exchange (or 7,836,411 shares if the underwriters exercise their option to purchase additional shares in full).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Class V Common Stock that will be outstanding after this offering is based on 241,552,156 shares of Class V Common Stock outstanding as of June 30, 2026, as reduced by the 9,250,000 shares of Class V Common Stock (or 10,637,500 shares if the underwriters exercise their option to purchase additional shares in full) to be redeemed through the HHC Exchange and the 7,269,685 shares of Class V Common Stock expected to be redeemed through the Markel Exchange (or 7,836,411 shares if the underwriters exercise their option to purchase additional shares in full).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unless we specifically state otherwise, all information in this prospectus supplement reflects and assumes: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conversion or exchange of the outstanding securities described in the preceding two paragraphs;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HHC Exchange of paired interests for the same number of shares of Class A Common Stock, which are being sold in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Markel Exchange of paired interests for the same number of shares of Class A Common Stock, which are not being sold in this offering;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of the underwriters’ option to purchase additional shares of Class A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toc111580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 investment in our Class A Common Stock involves a high degree of risk. In deciding whether to invest, you should carefully consider the risk factors described below and the risk factors incorporated by reference from our Annual Report on Form 10-K for the year ended December 31, 2025, as filed with the SEC on February 26, 2026, our Quarterly Reports on Form 10-Q for the quarterly periods ended March 31, 2026, and June 30, 2026, as filed with the SEC on May 6, 2026, and August 5, 2026, respectively, together with all other information contained or incorporated by reference in this prospectus supplement and the accompanying prospectus, including our financial statements and the related notes, as may be updated by our subsequent filings under the Securities Exchange Act of 1934, as amended (the “Exchange Act”), and in any free writing prospectus that we have authorized for use in connection with this offering. These risks could have a material and adverse impact on our business, results of operations, financial condition and growth prospects, which may cause the trading price of our Class A Common Stock to decline and you could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and Ownership of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dual class structure of our common stock has the effect of concentrating voting power with two stockholders, which limits your ability to influence the outcome of important transactions, including a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Our Class V Common Stock has 10 votes per share and our Class A Common Stock has one vote per share. Markel and HHC, who currently hold all of the Class V Common Stock, together hold a substantial majority of the voting power of our outstanding capital stock. Immediately following the consummation of this offering (including the HHC Exchange and the Markel Exchange), HHC and Markel, together, will control approximately 95.2% of the voting power (or 95.1% if the underwriters exercise their option to purchase additional shares in full). Because of the 10-to-1 voting ratio between our Class V Common Stock and Class A Common Stock, the holders of our Class V Common Stock collectively control a majority of the combined voting power of our common stock and, therefore, will be able to control all matters submitted to our stockholders until the earlier of (i) December 2, 2036, which is the date that is 15 years from the date of the consummation of the Business Combination, and (ii) the date on which such shares of Class V Common Stock are transferred other than pursuant to a Qualified Transfer (as defined in our Amended and Restated Charter). This concentrated control may limit or preclude your ability to influence the outcome of important corporate matters, including a change in control, for the foreseeable future. </w:t>
      </w:r>
    </w:p>
    <w:p>
      <w:pPr>
        <w:pStyle w:val="TextBody"/>
        <w:bidi w:val="0"/>
        <w:spacing w:before="240" w:after="0"/>
        <w:jc w:val="left"/>
        <w:rPr>
          <w:rFonts w:ascii="Times New Roman" w:hAnsi="Times New Roman"/>
          <w:sz w:val="20"/>
        </w:rPr>
      </w:pPr>
      <w:r>
        <w:rPr>
          <w:rFonts w:ascii="Times New Roman" w:hAnsi="Times New Roman"/>
          <w:sz w:val="20"/>
        </w:rPr>
        <w:t xml:space="preserve">Transfers by holders of Class V Common Stock will generally result in those shares losing their super voting rights, subject to limited exceptions, such as certain transfers effected for estate planning or charitable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three largest stockholders hold significant voting power, have the right to designate directors for nomination to our board of directors (our “Board”) and are entitled to preemptive rights with respect to the issuance of new Class A Common Stock, which provides these stockholders with significant power to influence our business and affairs. </w:t>
      </w:r>
    </w:p>
    <w:p>
      <w:pPr>
        <w:pStyle w:val="TextBody"/>
        <w:bidi w:val="0"/>
        <w:spacing w:before="120" w:after="0"/>
        <w:jc w:val="left"/>
        <w:rPr>
          <w:rFonts w:ascii="Times New Roman" w:hAnsi="Times New Roman"/>
          <w:sz w:val="20"/>
        </w:rPr>
      </w:pPr>
      <w:r>
        <w:rPr>
          <w:rFonts w:ascii="Times New Roman" w:hAnsi="Times New Roman"/>
          <w:sz w:val="20"/>
        </w:rPr>
        <w:t xml:space="preserve">Our three largest stockholders are HHC, Markel, and State Farm Mutual Insurance Company (“State Farm”). As of June 30, 2026, HHC controls approximately 66.0% of the voting power of our outstanding capital stock, Markel controls approximately 29.9%, and State Farm controls approximately 2.2%. Immediately following the consummation of this offering (including the HHC Exchange and the Markel Exchange), we expect HHC to control approximately 66.2% of the voting power of our outstanding common stock, Markel to control approximately 29.0%, and State Farm to control approximately 2.4% (or 66.1%, 29.0%, and 2.4%, respectively, if the underwriters exercise their option to purchase additional shares in full). Pursuant to the terms of the Investor Rights Agreement, dated as of August 17, 2021, among us, HHC, Markel, and State Farm (the “Investor Rights Agreement”), HHC has the right to designate two directors for nomination to our Board, and Markel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 Farm have each designated one director for nomination to our Board. Pursuant to the Investor Rights Agreement, each of HHC, Markel, and State Farm has agreed to vote for the election of any director nominated by HHC, Markel, and State Farm in furtherance of the director nomination rights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Moreover, under the terms of the Investor Rights Agreement, each of HHC, Markel, and State Farm has a contractual preemptive right. Specifically, for so long as it is entitled to nominate a director, each of HHC, Markel, and State Farm has a preemptive right to purchase up to the amount of any new securities we propose to issue or sell as is necessary to maintain its relative pro rata ownership position (determined on a fully diluted basis at the time of determination), subject to certain conditions. Therefore, while other holders of our stock would risk suffering a reduction in percentage ownership in connection with a new issuance of securities by us, HHC, Markel, and State Farm would, through this preemptive right, have the opportunity to avoid a reduction in percentage ownership. </w:t>
      </w:r>
    </w:p>
    <w:p>
      <w:pPr>
        <w:pStyle w:val="TextBody"/>
        <w:bidi w:val="0"/>
        <w:spacing w:before="240" w:after="0"/>
        <w:jc w:val="left"/>
        <w:rPr>
          <w:rFonts w:ascii="Times New Roman" w:hAnsi="Times New Roman"/>
          <w:sz w:val="20"/>
        </w:rPr>
      </w:pPr>
      <w:r>
        <w:rPr>
          <w:rFonts w:ascii="Times New Roman" w:hAnsi="Times New Roman"/>
          <w:sz w:val="20"/>
        </w:rPr>
        <w:t xml:space="preserve">By virtue of their voting power, Board nomination rights, contractual preemptive rights, and other approval rights, HHC, Markel, and State Farm, collectively and separately, have the power to significantly influence our business and affairs and the outcome of matters required to be submitted to stockholders for approval, including the election of our directors, amendments to our charter, mergers, or sales of assets. Their influence over our business and affairs may not be consistent with the interests of some or all of our other stockholders and might negatively affect the market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stock may be diluted by future issuances of additional Class A Common Stock in connection with our incentive plans, conversions of other securities, acquisitions or otherwise, and future sales of such shares could lower our stock price. </w:t>
      </w:r>
    </w:p>
    <w:p>
      <w:pPr>
        <w:pStyle w:val="TextBody"/>
        <w:bidi w:val="0"/>
        <w:spacing w:before="120" w:after="0"/>
        <w:jc w:val="left"/>
        <w:rPr>
          <w:rFonts w:ascii="Times New Roman" w:hAnsi="Times New Roman"/>
          <w:sz w:val="20"/>
        </w:rPr>
      </w:pPr>
      <w:r>
        <w:rPr>
          <w:rFonts w:ascii="Times New Roman" w:hAnsi="Times New Roman"/>
          <w:sz w:val="20"/>
        </w:rPr>
        <w:t xml:space="preserve">We may issue additional shares of Class A Common Stock in several ways. Our Board has broad flexibility to issue shares of our Class A Common Stock and options, rights, warrants and appreciation rights relating to our Class A Common Stock. Our share reserves under our 2021 Stock Incentive Plan and our 2021 Employee Stock Purchase Plan allow us to issue up to 38,317,399 and 11,495,220 shares, respectively, of our Class A Common Stock, of which we had issued awards for 13,583,590 and 315,554 shares, respectively, as of June 30, 2026. In addition, as of June 30, 2026, we had outstanding 241,552,156 paired interests of OpCo Units and corresponding shares of Class V Common Stock (of which 9,250,000 paired interests (or 10,637,500 paired interests if the underwriters exercise their option to purchase additional shares in full) will be exchanged for a corresponding number of shares of Class A Common Stock in the HHC Exchange, and 7,269,685 paired interests will be exchanged for a corresponding number of shares of Class A Common Stock in the Markel Exchange (or 7,836,411 paired interests if the underwriters exercise their option to purchase additional shares in full), in each case prior to the consummation of this offering), as well as 8,483,561 shares of Series A Convertible Preferred Stock, which are, in certain circumstances, exchangeable or convertible for 6,785,410 shares of Class A Common Stock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of our Board may in the future increase the number of shares to be reserved for future issuance under our equity incentive plans at its discretion. At such time, we may file additional registration statements on Form S-8 under the Securities Act of 1933, as amended (the “Securities Act”), to register shares of common stock or securities convertible into or exchangeable for shares of common stock issued pursuant to our equity incentive plans. Any such Form S-8 registration statements will automatically become effective upon filing. Accordingly, shares registered under such registration statements will be available for sale in the open market. </w:t>
      </w:r>
    </w:p>
    <w:p>
      <w:pPr>
        <w:pStyle w:val="TextBody"/>
        <w:bidi w:val="0"/>
        <w:spacing w:before="240" w:after="0"/>
        <w:jc w:val="left"/>
        <w:rPr>
          <w:rFonts w:ascii="Times New Roman" w:hAnsi="Times New Roman"/>
          <w:sz w:val="20"/>
        </w:rPr>
      </w:pPr>
      <w:r>
        <w:rPr>
          <w:rFonts w:ascii="Times New Roman" w:hAnsi="Times New Roman"/>
          <w:sz w:val="20"/>
        </w:rPr>
        <w:t xml:space="preserve">Any stock that we issue or exchange, other than issuances of Class A Common Stock in exchange for paired interests, would dilute the percentage ownership held by the investors who purchase Class A Common Stock. The market price of shares of our Class A Common Stock could decline as a result of newly issued or exchanged stock, or the perception that we might issue or exchange stock. A decline in the price of our Class A Common Stock might impede our ability to raise capital through the issuance of additional shares of Class A Common Stock or other equity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there are substantial sales of shares of our Class A Common Stock, the price of our Class A Common Stock could decline.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our Class A Common Stock could occur at any time. These sales, or the perception in the market that the holders of a large number of shares intend to sell their shares, particularly sales by our directors, executive officers, and significant stockholders, could reduce the market price of our Class A Common Stock. As of June 30, 2026, we had 101,804,938 shares of our Class A Common Stock outstanding. Shares held by directors, executive officers and other affiliates are subject to volume limitations under Rule 144 under the Securities Act and various vesting agreements. Any shares of our Class A Common Stock sold in this offering will be freely tradable without restriction or further registration under the Securities Act, unless such shares are held by our directors, executive officers or another “affiliate” within the meaning of Rule 144.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our directors, executive officers, State Farm, Markel, and the selling stockholder have each agreed to enter into “lock-up” agreements with the underwriters, pursuant to which they will not be permitted to sell any shares of our Class A Common Stock for 60 days after the date of this prospectus supplement, without the prior consent of Wells Fargo Securities, LLC and J.P. Morgan Securities LLC, subject to certain customary exceptions. Although we have been advised that there is no present intention to do so, Wells Fargo Securities, LLC and J.P. Morgan Securities LLC may, in their sole discretion, waive or release all or any portion of these shares from the restrictions in any of the lock-up agreements described above. See “Underwriting.” Possible sales of these shares in the market following the waiver, release or expiration of such agreements could exert significant downward pressure on our stock price. Although we know of no present intent to do so, any of our largest stockholders may choose to sell down their positions after the restricted period. For additional information regarding the lock-up agreements and related exceptions described above, see “Underwriting—Lock-Up Agreements.” </w:t>
      </w:r>
    </w:p>
    <w:p>
      <w:pPr>
        <w:pStyle w:val="TextBody"/>
        <w:bidi w:val="0"/>
        <w:spacing w:before="240" w:after="0"/>
        <w:jc w:val="left"/>
        <w:rPr>
          <w:rFonts w:ascii="Times New Roman" w:hAnsi="Times New Roman"/>
          <w:sz w:val="20"/>
        </w:rPr>
      </w:pPr>
      <w:r>
        <w:rPr>
          <w:rFonts w:ascii="Times New Roman" w:hAnsi="Times New Roman"/>
          <w:sz w:val="20"/>
        </w:rPr>
        <w:t xml:space="preserve">In the future, we may issue our securities in connection with investments or acquisitions. The amount of shares of our Class A Common Stock issued in connection with an investment or acquisition could constitute a material portion of our then outstanding shares of our Class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expect to continue to qualify as, and to elect to be treated as, a “controlled company” within the meaning of the NYSE listing standards and, as a result, our stockholders may not have certain corporate governance protections that are available to stockholders of companies that are not controlled companies. </w:t>
      </w:r>
    </w:p>
    <w:p>
      <w:pPr>
        <w:pStyle w:val="TextBody"/>
        <w:bidi w:val="0"/>
        <w:spacing w:before="120" w:after="0"/>
        <w:jc w:val="left"/>
        <w:rPr>
          <w:rFonts w:ascii="Times New Roman" w:hAnsi="Times New Roman"/>
          <w:sz w:val="20"/>
        </w:rPr>
      </w:pPr>
      <w:r>
        <w:rPr>
          <w:rFonts w:ascii="Times New Roman" w:hAnsi="Times New Roman"/>
          <w:sz w:val="20"/>
        </w:rPr>
        <w:t xml:space="preserve">So long as more than 50% of our voting power for the election of directors is held by an individual, a group, or another company, we will qualify as a “controlled company” under NYSE listing standards that is not required to have: (i) a majority of “independent directors,” as defined under the listing standards of the NYSE; (ii) a nominating/corporate governance committee composed entirely of independent directors that performs specified functions; and (iii) a compensation committee composed entirely of independent directors that performs specified functions. As of June 30, 2026, HHC controlled approximately 66.0% of the voting power of our outstanding capital stock and, assuming the consummation of this offering (including the HHC Exchange and the Markel Exchange), HHC would control approximately 66.2% of the voting power of our outstanding capital stock (or 66.1% if the underwriters exercise their option to purchase additional shares in full). As a result, we expect to continue to qualify as, and to elect to be treated as, a “controlled company” under NYSE listing standards. Although we currently utilize the relief available to controlled companies only as to the composition of our Nominating and Governance Committee, which consists of three independent directors and one management director, in the future we may choose to rely on this relief to a greater degree. To the extent we rely on the relief available to controlled companies, you will not have the same protections afforded to stockholders of companies that do not qualify for such relief. </w:t>
      </w:r>
    </w:p>
    <w:p>
      <w:pPr>
        <w:pStyle w:val="TextBody"/>
        <w:bidi w:val="0"/>
        <w:spacing w:before="240" w:after="0"/>
        <w:jc w:val="left"/>
        <w:rPr>
          <w:rFonts w:ascii="Times New Roman" w:hAnsi="Times New Roman"/>
          <w:sz w:val="20"/>
        </w:rPr>
      </w:pPr>
      <w:r>
        <w:rPr>
          <w:rFonts w:ascii="Times New Roman" w:hAnsi="Times New Roman"/>
          <w:sz w:val="20"/>
        </w:rPr>
        <w:t xml:space="preserve">HHC may have its interest diluted in the future due to future equity issuances by us, and HHC may decide to sell shares of common stock, which in either case could result in a loss of “controlled company” status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NYSE listing rules. We would then be required to comply with these independent director and committee NYSE listing requirements, subject to applicable phase-in deadlines.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dual class structure of our common stock may adversely affect the trading market for our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Certain indices maintain eligibility criteria that restrict companies with multiple classes of shares of common stock from being added to such indices. In addition, several institutional investors and stockholder advisory firms have announced their opposition to the use of multiple class structures. As a result, our dual class structure may prevent the inclusion of our Class A Common Stock in such indices and may cause institutional investors and stockholder advisory firms to view us negatively, publish negative commentary about our corporate governance practices or otherwise seek to cause us to change our capital structure. Exclusion from such indices or negative perceptions of us by institutional investors could result in a less active trading market for our Class A Common Stock, adversely affect the value of our Class A Common Stock, or otherwise adversely affect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we have no current plans to pay cash dividends on our Class A Common Stock for the foreseeable future, you may not receive any return on investment unless you sell your Class A Common Stock for a price greater than that which you paid for it. </w:t>
      </w:r>
    </w:p>
    <w:p>
      <w:pPr>
        <w:pStyle w:val="TextBody"/>
        <w:bidi w:val="0"/>
        <w:spacing w:before="120" w:after="0"/>
        <w:jc w:val="left"/>
        <w:rPr>
          <w:rFonts w:ascii="Times New Roman" w:hAnsi="Times New Roman"/>
          <w:sz w:val="20"/>
        </w:rPr>
      </w:pPr>
      <w:r>
        <w:rPr>
          <w:rFonts w:ascii="Times New Roman" w:hAnsi="Times New Roman"/>
          <w:sz w:val="20"/>
        </w:rPr>
        <w:t xml:space="preserve">We intend to retain any future earnings for use in the operations or our business and do not intend to declare or pay any cash dividends in the foreseeable future. Any determination to pay dividends on our Class A Common Stock will be at the discretion of our Board, subject to applicable laws, and will depend on general economic conditions and business conditions, our results of operations and financial condition, our available cash and current and anticipated cash needs, our capital requirements, contractual, legal, tax, and regulatory restrictions, and other factors that our Board considers relevant. In addition, our ability to pay dividends is limited by our holding company structure, including our need to obtain distributions from OpCo and to pay taxes, TRA payments and expenses, as well as covenants of our existing and outstanding indebtedness and may be limited by covenants of any future indebtedness we incur. As a result, you may not receive any return on an investment in our Class A Common Stock unless you sell our Class A Common Stock for a price greater than that which you paid for it.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price of our securities may be volatile or may decline regardless of our operating performance and you could lose all or part of your investment as a result. </w:t>
      </w:r>
    </w:p>
    <w:p>
      <w:pPr>
        <w:pStyle w:val="TextBody"/>
        <w:bidi w:val="0"/>
        <w:spacing w:before="120" w:after="0"/>
        <w:jc w:val="left"/>
        <w:rPr>
          <w:rFonts w:ascii="Times New Roman" w:hAnsi="Times New Roman"/>
          <w:sz w:val="20"/>
        </w:rPr>
      </w:pPr>
      <w:r>
        <w:rPr>
          <w:rFonts w:ascii="Times New Roman" w:hAnsi="Times New Roman"/>
          <w:sz w:val="20"/>
        </w:rPr>
        <w:t xml:space="preserve">The trading price of our Class A Common Stock is likely to be volatile. The stock market has experienced volatility, often unrelated or disproportionate to the operating performance of particular companies. You may not be able to resell your shares at an attractive price due to a number of factors such as those listed elsewhere in this “Risk Factors” section and this prospectus supplement, as well as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operations that vary from the expectations of securities analysts and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operations that vary from those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 float and trading volume of our securities is 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expectations as to our future financial performance, including financial estimates and investment recommendations by securities analysts and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or our competitors of significant contracts, acquisitions, joint ventures, other strategic relationships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general economic or market conditions or trends in our industry or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business or regulatory conditions, including new laws or regulations or new interpretations of existing laws or regulations applicable to our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our common stock or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public’s response to press releases or other public announcements by us or third parties, including our filings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standards, policies, guidelines, interpretations or principles, or changes in our business that result in different accounting treatment or presentation;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the realization of any of the risks described in this prospectus supplement, the accompanying prospectus and in our most recent Annual Report on Form 10-K or subsequent Quarterly Reports on Form 10-Q.</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broad market and industry fluctuations may adversely affect the market price of our Class A Common Stock regardless of our actual operating performance. </w:t>
      </w:r>
    </w:p>
    <w:p>
      <w:pPr>
        <w:pStyle w:val="TextBody"/>
        <w:bidi w:val="0"/>
        <w:spacing w:before="240" w:after="0"/>
        <w:jc w:val="left"/>
        <w:rPr>
          <w:rFonts w:ascii="Times New Roman" w:hAnsi="Times New Roman"/>
          <w:sz w:val="20"/>
        </w:rPr>
      </w:pPr>
      <w:r>
        <w:rPr>
          <w:rFonts w:ascii="Times New Roman" w:hAnsi="Times New Roman"/>
          <w:sz w:val="20"/>
        </w:rPr>
        <w:t xml:space="preserve">In the past, following periods of market volatility, stockholders have instituted securities class action litigation. If we were involved in securities litigation, it could have a substantial cost and divert resources and the attention of executive management from our business regardless of the outcome of such litigation.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toc111580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sale of shares of our Class A Common Stock by the selling stockholder. The selling stockholder will bear the underwriting discount attributable to its sale of our Class A Common Stock, and we will bear the remaining expenses. For more information about the selling stockholder, see “Underwriting” and “Selling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toc111580_6"/>
      <w:bookmarkEnd w:id="8"/>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intend to retain any future earnings for use in the operation of our business and do not intend to declare or pay any cash dividends in the foreseeable future. Any determination to pay dividends on our Class A Common Stock will be at the discretion of our Board, subject to applicable laws, and will depend on general economic and business conditions, our results of operations and financial condition, our available cash and current and anticipated cash needs, our capital requirements, contractual, legal, tax and regulatory restrictions, and other factors that our Board considers relevant. </w:t>
      </w:r>
    </w:p>
    <w:p>
      <w:pPr>
        <w:pStyle w:val="TextBody"/>
        <w:bidi w:val="0"/>
        <w:spacing w:before="240" w:after="0"/>
        <w:jc w:val="left"/>
        <w:rPr>
          <w:rFonts w:ascii="Times New Roman" w:hAnsi="Times New Roman"/>
          <w:sz w:val="20"/>
        </w:rPr>
      </w:pPr>
      <w:r>
        <w:rPr>
          <w:rFonts w:ascii="Times New Roman" w:hAnsi="Times New Roman"/>
          <w:sz w:val="20"/>
        </w:rPr>
        <w:t xml:space="preserve">We are a holding company and do not have material assets other than our ownership of OpCo Units, and as a consequence, our ability to declare and pay dividends to holders of our Class A Common Stock is subject to the ability of OpCo to provide distributions to us. If OpCo makes such distributions, OpCo Unit holders will be entitled to receive pro-rata distributions from OpCo. However, because we must pay taxes, make payments under the TRA, and pay our expenses, amounts ultimately distributed as dividends to holders of our Class A Common Stock would be less than the amounts distributed by OpCo to its unit holders on a per share basis. Because our Board may determine to pay or to not pay dividends, holders of our Class A Common Stock may not necessarily receive dividend distributions related to any excess distributions, even if OpCo makes such distributions to us.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subsidiary Hagerty Re is prohibited under Bermuda law from declaring or issuing a dividend if it fails to meet its minimum solvency margin or minimum liquidity ratio. Prior approval from the Bermuda Monetary Authority is also required if Hagerty Re’s proposed dividend payments would exceed 25% of its prior year-end total statutory capital and surplus. Moreover, our ability to pay dividends is limited by covenants of our existing and outstanding indebtedness and may be limited by covenants of any future indebtedness we incur.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toc111580_7"/>
      <w:bookmarkEnd w:id="9"/>
      <w:r>
        <w:rPr>
          <w:rFonts w:ascii="Times New Roman" w:hAnsi="Times New Roman"/>
          <w:b/>
          <w:sz w:val="20"/>
        </w:rPr>
        <w:t xml:space="preserve">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the beneficial ownership of our common stock by the selling stockholder, the number of shares of our Class A Common Stock the selling stockholder is hereby offering, and information with respect to shares to be beneficially owned by the selling stockholder after consummation of this offering, in each case assuming no exercise of the underwriters’ option to purchase additional shares of Class A Common Stock. The number of shares of common stock outstanding and percentages of beneficial ownership provided in the table below is based on 101,804,938 shares of Class A Common Stock and 241,552,156 shares of Class V Common Stock outstanding as of June 30, 2026. The columns in the table below under the heading titled “Beneficial Ownership After this Offering” reflect the impact of the HHC Exchange and the Markel Exchange of paired interests for shares of our Class A Common Stock prior to the consummation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has been determined under rules promulgated by the SEC. Under such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deemed to be outstanding for purposes of computing such person’s ownership percentage, but not for purposes of computing any other person’s percentage. </w:t>
      </w:r>
    </w:p>
    <w:p>
      <w:pPr>
        <w:pStyle w:val="TextBody"/>
        <w:bidi w:val="0"/>
        <w:spacing w:before="0" w:after="0"/>
        <w:jc w:val="left"/>
        <w:rPr/>
      </w:pPr>
      <w:r>
        <w:rPr/>
        <w:t> </w:t>
      </w:r>
    </w:p>
    <w:tbl>
      <w:tblPr>
        <w:tblW w:w="13510" w:type="dxa"/>
        <w:jc w:val="center"/>
        <w:tblInd w:w="0" w:type="dxa"/>
        <w:tblLayout w:type="fixed"/>
        <w:tblCellMar>
          <w:top w:w="0" w:type="dxa"/>
          <w:left w:w="0" w:type="dxa"/>
          <w:bottom w:w="0" w:type="dxa"/>
          <w:right w:w="0" w:type="dxa"/>
        </w:tblCellMar>
      </w:tblPr>
      <w:tblGrid>
        <w:gridCol w:w="1250"/>
        <w:gridCol w:w="60"/>
        <w:gridCol w:w="60"/>
        <w:gridCol w:w="1220"/>
        <w:gridCol w:w="60"/>
        <w:gridCol w:w="60"/>
        <w:gridCol w:w="60"/>
        <w:gridCol w:w="635"/>
        <w:gridCol w:w="60"/>
        <w:gridCol w:w="60"/>
        <w:gridCol w:w="60"/>
        <w:gridCol w:w="1220"/>
        <w:gridCol w:w="60"/>
        <w:gridCol w:w="60"/>
        <w:gridCol w:w="60"/>
        <w:gridCol w:w="635"/>
        <w:gridCol w:w="60"/>
        <w:gridCol w:w="60"/>
        <w:gridCol w:w="61"/>
        <w:gridCol w:w="649"/>
        <w:gridCol w:w="60"/>
        <w:gridCol w:w="60"/>
        <w:gridCol w:w="60"/>
        <w:gridCol w:w="980"/>
        <w:gridCol w:w="350"/>
        <w:gridCol w:w="60"/>
        <w:gridCol w:w="60"/>
        <w:gridCol w:w="1220"/>
        <w:gridCol w:w="60"/>
        <w:gridCol w:w="60"/>
        <w:gridCol w:w="60"/>
        <w:gridCol w:w="635"/>
        <w:gridCol w:w="60"/>
        <w:gridCol w:w="60"/>
        <w:gridCol w:w="60"/>
        <w:gridCol w:w="1220"/>
        <w:gridCol w:w="60"/>
        <w:gridCol w:w="60"/>
        <w:gridCol w:w="60"/>
        <w:gridCol w:w="635"/>
        <w:gridCol w:w="60"/>
        <w:gridCol w:w="60"/>
        <w:gridCol w:w="61"/>
        <w:gridCol w:w="649"/>
        <w:gridCol w:w="350"/>
      </w:tblGrid>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250" w:type="dxa"/>
            <w:vMerge w:val="restart"/>
            <w:tcBorders/>
            <w:vAlign w:val="bottom"/>
          </w:tcPr>
          <w:p>
            <w:pPr>
              <w:pStyle w:val="TableContents"/>
              <w:bidi w:val="0"/>
              <w:spacing w:before="0" w:after="283"/>
              <w:jc w:val="center"/>
              <w:rPr>
                <w:b/>
              </w:rPr>
            </w:pPr>
            <w:r>
              <w:rPr>
                <w:b/>
              </w:rPr>
              <w:t xml:space="preserve">Name of Selling </w:t>
              <w:br/>
              <w:t>Stockholder</w:t>
            </w:r>
          </w:p>
        </w:tc>
        <w:tc>
          <w:tcPr>
            <w:tcW w:w="60" w:type="dxa"/>
            <w:tcBorders/>
            <w:vAlign w:val="bottom"/>
          </w:tcPr>
          <w:p>
            <w:pPr>
              <w:pStyle w:val="TableContents"/>
              <w:bidi w:val="0"/>
              <w:spacing w:before="0" w:after="283"/>
              <w:jc w:val="left"/>
              <w:rPr/>
            </w:pPr>
            <w:r>
              <w:rPr/>
              <w:t> </w:t>
            </w:r>
          </w:p>
        </w:tc>
        <w:tc>
          <w:tcPr>
            <w:tcW w:w="5140"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Beneficial Ownership Prior to this</w:t>
              <w:br/>
              <w:t>Offering</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04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Shares of</w:t>
              <w:br/>
              <w:t>Class A</w:t>
              <w:br/>
              <w:t>Common</w:t>
              <w:br/>
              <w:t>Stock</w:t>
              <w:br/>
              <w:t>to be Sold</w:t>
              <w:br/>
              <w:t>in this</w:t>
              <w:br/>
              <w:t>Offering</w:t>
            </w:r>
          </w:p>
        </w:tc>
        <w:tc>
          <w:tcPr>
            <w:tcW w:w="350"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40"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Beneficial Ownership After this Offering</w:t>
            </w:r>
          </w:p>
        </w:tc>
        <w:tc>
          <w:tcPr>
            <w:tcW w:w="350" w:type="dxa"/>
            <w:tcBorders/>
            <w:vAlign w:val="bottom"/>
          </w:tcPr>
          <w:p>
            <w:pPr>
              <w:pStyle w:val="TableContents"/>
              <w:bidi w:val="0"/>
              <w:spacing w:before="0" w:after="283"/>
              <w:jc w:val="left"/>
              <w:rPr/>
            </w:pPr>
            <w:r>
              <w:rPr/>
              <w:t> </w:t>
            </w:r>
          </w:p>
        </w:tc>
      </w:tr>
      <w:tr>
        <w:trPr/>
        <w:tc>
          <w:tcPr>
            <w:tcW w:w="1250"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0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w:t>
              <w:br/>
              <w:t>Common</w:t>
              <w:br/>
              <w:t>Stock(1)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V</w:t>
              <w:br/>
              <w:t>Common</w:t>
              <w:br/>
              <w:t>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71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 of</w:t>
              <w:br/>
              <w:t>Total</w:t>
              <w:br/>
              <w:t>Voting</w:t>
              <w:br/>
              <w:t>Power</w:t>
            </w:r>
          </w:p>
        </w:tc>
        <w:tc>
          <w:tcPr>
            <w:tcW w:w="60" w:type="dxa"/>
            <w:vMerge w:val="restart"/>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040" w:type="dxa"/>
            <w:gridSpan w:val="2"/>
            <w:vMerge w:val="continue"/>
            <w:tcBorders>
              <w:bottom w:val="single" w:sz="8" w:space="0" w:color="000000"/>
            </w:tcBorders>
            <w:tcMar>
              <w:bottom w:w="28" w:type="dxa"/>
            </w:tcMar>
            <w:vAlign w:val="bottom"/>
          </w:tcPr>
          <w:p>
            <w:pPr>
              <w:pStyle w:val="Normal"/>
              <w:bidi w:val="0"/>
              <w:jc w:val="left"/>
              <w:rPr/>
            </w:pPr>
            <w:r>
              <w:rPr/>
            </w:r>
          </w:p>
        </w:tc>
        <w:tc>
          <w:tcPr>
            <w:tcW w:w="350"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0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w:t>
              <w:br/>
              <w:t>Common</w:t>
              <w:br/>
              <w:t>Stock(1)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V</w:t>
              <w:br/>
              <w:t>Common</w:t>
              <w:br/>
              <w:t>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71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 of</w:t>
              <w:br/>
              <w:t>Total</w:t>
              <w:br/>
              <w:t>Voting</w:t>
              <w:br/>
              <w:t>Power</w:t>
            </w:r>
          </w:p>
        </w:tc>
        <w:tc>
          <w:tcPr>
            <w:tcW w:w="350" w:type="dxa"/>
            <w:vMerge w:val="restart"/>
            <w:tcBorders/>
            <w:vAlign w:val="bottom"/>
          </w:tcPr>
          <w:p>
            <w:pPr>
              <w:pStyle w:val="TableContents"/>
              <w:bidi w:val="0"/>
              <w:spacing w:before="0" w:after="283"/>
              <w:jc w:val="left"/>
              <w:rPr/>
            </w:pPr>
            <w:r>
              <w:rPr/>
              <w:t> </w:t>
            </w:r>
          </w:p>
        </w:tc>
      </w:tr>
      <w:tr>
        <w:trPr/>
        <w:tc>
          <w:tcPr>
            <w:tcW w:w="1250"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71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040" w:type="dxa"/>
            <w:gridSpan w:val="2"/>
            <w:vMerge w:val="continue"/>
            <w:tcBorders/>
            <w:vAlign w:val="bottom"/>
          </w:tcPr>
          <w:p>
            <w:pPr>
              <w:pStyle w:val="Normal"/>
              <w:bidi w:val="0"/>
              <w:jc w:val="left"/>
              <w:rPr/>
            </w:pPr>
            <w:r>
              <w:rPr/>
            </w:r>
          </w:p>
        </w:tc>
        <w:tc>
          <w:tcPr>
            <w:tcW w:w="350"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710" w:type="dxa"/>
            <w:gridSpan w:val="2"/>
            <w:vMerge w:val="continue"/>
            <w:tcBorders>
              <w:bottom w:val="single" w:sz="8" w:space="0" w:color="000000"/>
            </w:tcBorders>
            <w:tcMar>
              <w:bottom w:w="28" w:type="dxa"/>
            </w:tcMar>
            <w:vAlign w:val="bottom"/>
          </w:tcPr>
          <w:p>
            <w:pPr>
              <w:pStyle w:val="Normal"/>
              <w:bidi w:val="0"/>
              <w:jc w:val="left"/>
              <w:rPr/>
            </w:pPr>
            <w:r>
              <w:rPr/>
            </w:r>
          </w:p>
        </w:tc>
        <w:tc>
          <w:tcPr>
            <w:tcW w:w="350" w:type="dxa"/>
            <w:vMerge w:val="continue"/>
            <w:tcBorders/>
            <w:vAlign w:val="bottom"/>
          </w:tcPr>
          <w:p>
            <w:pPr>
              <w:pStyle w:val="Normal"/>
              <w:bidi w:val="0"/>
              <w:jc w:val="left"/>
              <w:rPr/>
            </w:pPr>
            <w:r>
              <w:rPr/>
            </w:r>
          </w:p>
        </w:tc>
      </w:tr>
      <w:tr>
        <w:trPr/>
        <w:tc>
          <w:tcPr>
            <w:tcW w:w="125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Hagerty Holding Corp.(2)(3)(4)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166,552,156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62.1%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166,552,156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69.0%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right"/>
              <w:rPr/>
            </w:pPr>
            <w:r>
              <w:rPr/>
              <w:t>66.0%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9,250,000</w:t>
            </w:r>
          </w:p>
        </w:tc>
        <w:tc>
          <w:tcPr>
            <w:tcW w:w="350" w:type="dxa"/>
            <w:tcBorders/>
            <w:shd w:fill="CCEEFF" w:val="clear"/>
            <w:vAlign w:val="bottom"/>
          </w:tcPr>
          <w:p>
            <w:pPr>
              <w:pStyle w:val="TableContents"/>
              <w:bidi w:val="0"/>
              <w:spacing w:before="0" w:after="283"/>
              <w:jc w:val="left"/>
              <w:rPr/>
            </w:pPr>
            <w:r>
              <w:rPr/>
              <w:t>(5)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157,302,156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57.1%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157,302,156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69.9%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right"/>
              <w:rPr/>
            </w:pPr>
            <w:r>
              <w:rPr/>
              <w:t>66.2%</w:t>
            </w:r>
          </w:p>
        </w:tc>
        <w:tc>
          <w:tcPr>
            <w:tcW w:w="350" w:type="dxa"/>
            <w:tcBorders/>
            <w:shd w:fill="CCEEFF" w:val="clear"/>
            <w:vAlign w:val="bottom"/>
          </w:tcPr>
          <w:p>
            <w:pPr>
              <w:pStyle w:val="TableContents"/>
              <w:bidi w:val="0"/>
              <w:spacing w:before="0" w:after="283"/>
              <w:jc w:val="left"/>
              <w:rPr/>
            </w:pPr>
            <w:r>
              <w:rPr/>
              <w:t>(6)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presentation of beneficial ownership of Class A Common Stock assumes the conversion of the stockholder’s Class V Common Stock to Class A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HHC owns 166,552,156 shares of Class V Common Stock and an equal number of corresponding OpCo Units. Each such paired interest is exchangeable for one share of Class A Common Stock pursuant to the Exchange Agreement. HHC is owned by members of the Hagerty family, including McKeel Hagerty, our CEO, Tammy Hagerty, the sister of McKeel Hagerty, and the Kim Hagerty Revocable Trust, a trust established for the benefit of the late Kim Hagerty’s family and charitable purposes. The shareholders of HHC have the authority over the disposition and voting of the shares of Class V Common Stock held by HHC. Each of McKeel Hagerty, Tammy Hagerty, and the Goldman Sachs Trust Company, N.A., as the Voting Trustee for the Kim Hagerty Revocable Trust, has voting power on matters submitted to the shareholders of HHC, and except in limited circumstances, decisions will be made by the holders of a majority of the voting power. In addition, any of McKeel Hagerty, Tammy Hagerty, or the Kim Hagerty Revocable Trust may require HHC to exchange Class V Common Stock and OpCo Units for Class A Common Stock in an amount up to 2% of the fully-diluted outstanding shares of Class A Common Stock and to use the net proceeds of such exchange to redeem a corresponding portion of shares of HHC; provided, that, in no event shall HHC be required to exchange such interests if, prior to the 15th anniversary of December 2, 2021, as a result of the exchange, HHC would cease to hold at least 55% of the voting power of Hagerty. Also, in the event that either of McKeel Hagerty or Tammy Hagerty dies, the estate of the deceased HHC shareholder may cause HHC to exchange Class V Common Stock and OpCo Units in an amount necessary to cover the estate obligations of the deceased shareholder’s estate after taking into account certain other resources available to the estate, including the amount of any life insurance proceeds received by the estate.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party to the Investor Rights Agreement with HHC, Markel, and State Farm, pursuant to which, among other things: (i) HHC has the right to nominate (a) two directors to our Board for so long as HHC and its permitted transferees hold 50% of our common stock that it owned as of the closing, and (b) one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director to our Board for so long as HHC and its permitted transferees hold 25% of our common stock that it owned as of the closing; (ii) Markel has the right to nominate one director to our Board for so long as Markel and its permitted transferees hold 50% of our common stock that it owned as of the closing; and (iii) State Farm has the right to nominate one director to our Board for so long as State Farm and its permitted transferees hold 50% of our common stock that it owned as of the closing. Each of HHC, Markel, and State Farm agreed to vote its shares of our common stock in support of the director nominees submitted pursuant to the Investor Rights Agreement and against certain other actions that are contrary to the rights in the Investor Rights Agreement. By virtue of the voting agreement under the Investor Rights Agreement, each of HHC, Markel, and State Farm may be deemed to be a member of a “group” for purposes of Section 13(d) of the Exchange Act. Each party expressly disclaims beneficial ownership of the other parties’ Company securities subject to that agreement.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HHC has advised us that the net proceeds from the sale of its shares in this offering will be used to effect a redemption, for the benefit of the Kim Hagerty Revocable Trust, of a corresponding number of its HHC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consummation of this offering, we will issue up to 9,250,000 shares of Class A Common Stock (or 10,637,500 shares if the underwriters exercise their option to purchase additional shares in full) to HHC in exchange for an equivalent number of outstanding OpCo Units and shares of Class V Common Stock, which shares of Class A Common Stock will be sold by HHC in this offering.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Contingent on and prior to the consummation of this offering, Markel is expected to exchange 7,269,685 paired interests, consisting of 7,269,685 OpCo Units and an equal number of shares of Class V Common Stock, for 7,269,685 shares of Class A Common Stock pursuant to the Exchange Agreement (or 7,836,411 paired interests and 7,836,411 shares if the underwriters exercise their option to purchase additional shares in full). Markel is conducting the Markel Exchange in order to maintain compliance with regulatory requirements and will not sell any shares of Class A Common Stock in this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toc111580_8"/>
      <w:bookmarkEnd w:id="10"/>
      <w:r>
        <w:rPr>
          <w:rFonts w:ascii="Times New Roman" w:hAnsi="Times New Roman"/>
          <w:b/>
          <w:sz w:val="20"/>
        </w:rPr>
        <w:t xml:space="preserve">MATERIAL U.S. FEDERAL INCOME TAX CONSEQUENCES TO NON-U.S.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U.S. federal income tax consequences to non-U.S. holders (as defined below) of the ownership and disposition of our Class A Common Stock issued pursuant to this offering. This discussion is not a complete analysis of all potential U.S. federal income tax consequences relating thereto, does not address the potential application of the Medicare contribution tax on net investment income or the alternative minimum tax, and does not address any estate or gift tax consequences (other than those specifically set forth below) or any tax consequences arising under any state, local or foreign tax laws, or any other U.S. federal tax laws. This discussion is based on the U.S. Internal Revenue Code of 1986, as amended (the “Code”), Treasury Regulations promulgated thereunder, judicial decisions and published rulings and administrative pronouncements of the IRS, all as in effect on the date of this prospectus supplement.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non-U.S. holders who purchase our Class A Common Stock pursuant to this offering and who hold our Class A Common Stock as a “capital asset” within the meaning of Section 1221 of the Code (generally, property held for investment). This discussion does not address all of the U.S. federal income tax consequences that may be relevant to an individual holder in light of such holder’s particular circumstances. This discussion also does not consider any specific facts or circumstances that may be relevant to non-U.S. holders subject to special rules under the U.S. federal income tax laws,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pass-through entities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controlled foreign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foreign-controlled foreign corporations” under Section 951B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passive foreign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financial institutions, investment funds, insurance companies, brokers, dealers or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and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under Section 451(b)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have owned, actually or constructively, more than 5% of our Class 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have elected to mark securities to market;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Class A Common Stock as part of a hedging or conversion transaction or straddle, or a constructive sale, or other risk reduction strategy or integrated investment.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that is classified as a partnership for U.S. federal income tax purposes holds our Class A Common Stock, the U.S. federal income tax treatment of a partner in the partnership will generally depend on the status of the partner and the activities of the partnership. Partnerships holding our Class A Common Stock and the partners in such partnerships are urged to consult their tax advisors about the particular U.S. federal income tax consequences to them of holding and disposing of our Class A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PROSPECTIVE INVESTORS SHOULD CONSULT THEIR TAX ADVISORS REGARDING THE PARTICULAR U.S. FEDERAL INCOME TAX CONSEQUENCES TO THEM OF ACQUIRING, OWNING AND DISPOSING OF OUR CLASS A COMMON STOCK, AS WELL AS ANY TAX CONSEQUENCES ARISING UNDER ANY STATE, LOCAL OR FOREIGN TAX LAWS AND ANY OTHER U.S. FEDERAL TAX LAWS. </w:t>
      </w:r>
    </w:p>
    <w:p>
      <w:pPr>
        <w:pStyle w:val="TextBody"/>
        <w:bidi w:val="0"/>
        <w:spacing w:before="360" w:after="0"/>
        <w:jc w:val="left"/>
        <w:rPr>
          <w:rFonts w:ascii="Times New Roman" w:hAnsi="Times New Roman"/>
          <w:b/>
          <w:sz w:val="20"/>
        </w:rPr>
      </w:pPr>
      <w:r>
        <w:rPr>
          <w:rFonts w:ascii="Times New Roman" w:hAnsi="Times New Roman"/>
          <w:b/>
          <w:sz w:val="20"/>
        </w:rPr>
        <w:t xml:space="preserve">Definition of Non-U.S. Holder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is any beneficial owner of our Class A Common Stock that is not a “U.S. person” (as defined below) or a partnership (including any entity or arrangement treated as a partnership) or other pass-through entity for U.S. federal income tax purposes. A U.S. person is any person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(including any entity treated as a corporation for U.S. federal income tax purposes)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 whose administration is subject to the primary supervision of a U.S. court and which has one or more United States persons who have the authority to control all substantial decisions of the trust or (ii) that has a valid election in effect under applicable Treasury Regulations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an individual non-U.S.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 </w:t>
      </w:r>
    </w:p>
    <w:p>
      <w:pPr>
        <w:pStyle w:val="TextBody"/>
        <w:bidi w:val="0"/>
        <w:spacing w:before="240" w:after="0"/>
        <w:jc w:val="left"/>
        <w:rPr>
          <w:rFonts w:ascii="Times New Roman" w:hAnsi="Times New Roman"/>
          <w:sz w:val="20"/>
        </w:rPr>
      </w:pPr>
      <w:r>
        <w:rPr>
          <w:rFonts w:ascii="Times New Roman" w:hAnsi="Times New Roman"/>
          <w:sz w:val="20"/>
        </w:rPr>
        <w:t xml:space="preserve">Resident aliens are generally subject to U.S. federal income tax as if they were U.S. citizens. Individuals who are uncertain of their status as resident or nonresident aliens for U.S. federal income tax purposes are urged to consult their tax advisors regarding the U.S. federal income tax consequences of the ownership or disposition of our Class A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on Our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If we distribute cash or other property on our Class A Common Stock, such distributions will constitute dividends for U.S. federal income tax purposes to the extent paid from our current or accumulated earnings and profits, as determined under U.S. federal income tax principles. Amounts distributed in excess of our current and accumulated earnings and profits will constitute a return of capital and will first be applied against and reduce a non-U.S. holder’s tax basis in our Class A Common Stock, but not below zero. Any distribution in excess of a non-U.S. holder’s tax basis will be treated as gain realized on the sale or other disposition of our Class A Common Stock and will be treated as described in the “Gain On Disposition of Our Class A Common Stock” section below. Subject to the discussion below regarding effectively connected income, backup withholding and FATCA (as defined below), dividends paid to a non-U.S. holder of our Class A Common Stock generally will be subject to U.S. federal withholding tax at a rate of 30% of the gross amount of the dividends or such lower rate specified by an applicable income tax treaty. To receive the benefit of a reduced treaty rate, a non-U.S. holder must furnish the applicable withholding agent with a valid IRS Form W-8BEN or IRS Form W-8BEN-E (or applicable form) certifying such non-U.S. holder’s qualification for the reduced rate. This certification must be provided to the applicable withholding agent before the payment of dividends and must be updated periodically. If the non-U.S. holder holds our Class A Common Stock through a financial institution or other agent acting on the non-U.S. holder’s behalf, the non-U.S. holder will be required to provide appropriate documentation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agent, which then will be required to provide certification to the applicable withholding agent, either directly or through other intermediaries. </w:t>
      </w:r>
    </w:p>
    <w:p>
      <w:pPr>
        <w:pStyle w:val="TextBody"/>
        <w:bidi w:val="0"/>
        <w:spacing w:before="240" w:after="0"/>
        <w:jc w:val="left"/>
        <w:rPr>
          <w:rFonts w:ascii="Times New Roman" w:hAnsi="Times New Roman"/>
          <w:sz w:val="20"/>
        </w:rPr>
      </w:pPr>
      <w:r>
        <w:rPr>
          <w:rFonts w:ascii="Times New Roman" w:hAnsi="Times New Roman"/>
          <w:sz w:val="20"/>
        </w:rPr>
        <w:t xml:space="preserve">If a non-U.S. holder holds our Class A Common Stock in connection with the conduct of a trade or business in the United States, and dividends paid on our Class A Common Stock are effectively connected with such holder’s U.S. trade or business (and are attributable to such holder’s permanent establishment or fixed base in the United States if required by an applicable tax treaty), the non-U.S. holder will generally be exempt from U.S. federal withholding tax, provided that the non-U.S. holder furnishes a valid IRS Form W-8ECI (or applicable successor form) to the applicable withholding agent. </w:t>
      </w:r>
    </w:p>
    <w:p>
      <w:pPr>
        <w:pStyle w:val="TextBody"/>
        <w:bidi w:val="0"/>
        <w:spacing w:before="240" w:after="0"/>
        <w:jc w:val="left"/>
        <w:rPr>
          <w:rFonts w:ascii="Times New Roman" w:hAnsi="Times New Roman"/>
          <w:sz w:val="20"/>
        </w:rPr>
      </w:pPr>
      <w:r>
        <w:rPr>
          <w:rFonts w:ascii="Times New Roman" w:hAnsi="Times New Roman"/>
          <w:sz w:val="20"/>
        </w:rPr>
        <w:t xml:space="preserve">However, any such effectively connected dividends paid on our Class A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w:t>
      </w:r>
    </w:p>
    <w:p>
      <w:pPr>
        <w:pStyle w:val="TextBody"/>
        <w:bidi w:val="0"/>
        <w:spacing w:before="240" w:after="0"/>
        <w:jc w:val="left"/>
        <w:rPr>
          <w:rFonts w:ascii="Times New Roman" w:hAnsi="Times New Roman"/>
          <w:sz w:val="20"/>
        </w:rPr>
      </w:pPr>
      <w:r>
        <w:rPr>
          <w:rFonts w:ascii="Times New Roman" w:hAnsi="Times New Roman"/>
          <w:sz w:val="20"/>
        </w:rPr>
        <w:t xml:space="preserve">Non-U.S. holders that do not provide the required certification on a timely basis, but that qualify for a reduced treaty rate, may obtain a refund of any excess amounts withheld by timely filing an appropriate claim for refund with the IRS. Non-U.S. holders should consult their tax advisors regarding any applicable income tax treaties that may provide for different rules. </w:t>
      </w:r>
    </w:p>
    <w:p>
      <w:pPr>
        <w:pStyle w:val="TextBody"/>
        <w:bidi w:val="0"/>
        <w:spacing w:before="360" w:after="0"/>
        <w:jc w:val="left"/>
        <w:rPr>
          <w:rFonts w:ascii="Times New Roman" w:hAnsi="Times New Roman"/>
          <w:b/>
          <w:sz w:val="20"/>
        </w:rPr>
      </w:pPr>
      <w:r>
        <w:rPr>
          <w:rFonts w:ascii="Times New Roman" w:hAnsi="Times New Roman"/>
          <w:b/>
          <w:sz w:val="20"/>
        </w:rPr>
        <w:t xml:space="preserve">Gain on Disposition of Our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regarding backup withholding and FATCA, a non-U.S. holder generally will not be subject to U.S. federal income tax on any gain realized on the sale or other disposition of our Class A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in the United States and, if required by an applicable income tax treaty, is attributable to a permanent establishment, office or fixed place of business, fixed base, or dependent agent maintained or employed by the non-U.S. holder in the United States;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and certain other requirements are met.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point above generally will be subject to U.S. federal income tax on a net income basis at the regular U.S. federal income tax rates in the same manner as if such non-U.S.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A non-U.S. holder described in the second bullet point above will be subject to U.S. federal income tax at a flat 30% rate (or such lower rate specified by an applicable income tax treaty) on gain realized upon the sale or other taxable disposition of our Class A Common Stock, which may be offset by certain U.S.-source capital losses (even though the individual is not considered a resident of the United States), provided that the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regarding any applicable income tax treaties that may provide for different rules.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Estate Tax </w:t>
      </w:r>
    </w:p>
    <w:p>
      <w:pPr>
        <w:pStyle w:val="TextBody"/>
        <w:bidi w:val="0"/>
        <w:spacing w:before="120" w:after="0"/>
        <w:jc w:val="left"/>
        <w:rPr>
          <w:rFonts w:ascii="Times New Roman" w:hAnsi="Times New Roman"/>
          <w:sz w:val="20"/>
        </w:rPr>
      </w:pPr>
      <w:r>
        <w:rPr>
          <w:rFonts w:ascii="Times New Roman" w:hAnsi="Times New Roman"/>
          <w:sz w:val="20"/>
        </w:rPr>
        <w:t xml:space="preserve">The estates of nonresident alien individuals generally are subject to U.S. federal estate tax on property with a U.S. situs. Because we are a U.S. corporation, our Class A Common Stock will be U.S. situs property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therefore, will be included in the taxable estate of a nonresident alien decedent, unless an applicable estate tax treaty between the United States and the decedent’s country of residence provides otherwise. The terms “resident” and “nonresident” are defined differently for U.S. federal estate tax purposes than for U.S. federal income tax purposes. Investors are urged to consult their tax advisors regarding the U.S. federal estate tax consequences of the ownership or disposition of our Class A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Annual reports are required to be filed with the IRS and provided to each non-U.S. holder indicating the amount of dividends on our Class A Common Stock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currently at a 24% rate, generally will not apply to payments to a non-U.S. holder of dividends on or the gross proceeds of a disposition of, our Class A Common Stock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 </w:t>
      </w:r>
    </w:p>
    <w:p>
      <w:pPr>
        <w:pStyle w:val="TextBody"/>
        <w:bidi w:val="0"/>
        <w:spacing w:before="360" w:after="0"/>
        <w:jc w:val="left"/>
        <w:rPr>
          <w:rFonts w:ascii="Times New Roman" w:hAnsi="Times New Roman"/>
          <w:b/>
          <w:sz w:val="20"/>
        </w:rPr>
      </w:pPr>
      <w:r>
        <w:rPr>
          <w:rFonts w:ascii="Times New Roman" w:hAnsi="Times New Roman"/>
          <w:b/>
          <w:sz w:val="20"/>
        </w:rPr>
        <w:t xml:space="preserve">Withholding on Foreign Entities </w:t>
      </w:r>
    </w:p>
    <w:p>
      <w:pPr>
        <w:pStyle w:val="TextBody"/>
        <w:bidi w:val="0"/>
        <w:spacing w:before="120" w:after="0"/>
        <w:jc w:val="left"/>
        <w:rPr>
          <w:rFonts w:ascii="Times New Roman" w:hAnsi="Times New Roman"/>
          <w:sz w:val="20"/>
        </w:rPr>
      </w:pPr>
      <w:r>
        <w:rPr>
          <w:rFonts w:ascii="Times New Roman" w:hAnsi="Times New Roman"/>
          <w:sz w:val="20"/>
        </w:rPr>
        <w:t xml:space="preserve">The Foreign Account Tax Compliance Act (“FATCA”), as reflected in Sections 1471 through 1474 of the Code, imposes a U.S. federal withholding tax of 30% on certain payments, including dividends paid in respect of our Class A Common Stock and the gross proceeds of disposition on our Class A Common Stock,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including dividends paid in respect of our Class A Common Stock and the gross proceeds of disposition on our Class A Common Stock,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Class A Common Stock. Proposed Treasury Regulations, which may be relied upon until final Treasury Regulations are finalized, currently eliminate FATCA withholding on payments of gross proceeds from sales or other dispositions of our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are encouraged to consult with their tax advisors regarding the possible implications of FATCA on their investment in our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EACH PROSPECTIVE INVESTOR SHOULD CONSULT ITS TAX ADVISOR REGARDING THE TAX CONSEQUENCES OF PURCHASING, HOLDING AND DISPOSING OF OUR CLASS A COMMON STOCK, INCLUDING THE CONSEQUENCES OF ANY PROPOSED CHANGE IN APPLICABLE LAW, AS WELL AS TAX CONSEQUENCES ARISING UNDER ANY STATE, LOCAL, NON-U.S. OR U.S. FEDERAL NON-INCOME TAX LAWS SUCH AS ESTATE AND GIFT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toc111580_9"/>
      <w:bookmarkEnd w:id="11"/>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is offering the shares of Class A Common Stock described in this prospectus through a number of underwriters. Wells Fargo Securities, LLC and J.P. Morgan Securities LLC are acting as representatives of the underwriters. We and the selling stockholder have entered into an underwriting agreement with the underwriters. Subject to the terms of the underwriting agreement, the selling stockholder has agreed to sell to the underwriters, and each underwriter has severally agreed to purchase, at the public offering price less the underwriting discount set forth on the cover page of this prospectus, the number of shares of Class A Common Stock listed next to such underwriter’s name in the following 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75"/>
        <w:gridCol w:w="129"/>
        <w:gridCol w:w="65"/>
        <w:gridCol w:w="1073"/>
        <w:gridCol w:w="63"/>
      </w:tblGrid>
      <w:tr>
        <w:trPr/>
        <w:tc>
          <w:tcPr>
            <w:tcW w:w="887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87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9" w:type="dxa"/>
            <w:tcBorders/>
            <w:vAlign w:val="bottom"/>
          </w:tcPr>
          <w:p>
            <w:pPr>
              <w:pStyle w:val="TableContents"/>
              <w:bidi w:val="0"/>
              <w:spacing w:before="0" w:after="283"/>
              <w:jc w:val="left"/>
              <w:rPr/>
            </w:pPr>
            <w:r>
              <w:rPr/>
              <w:t>  </w:t>
            </w:r>
          </w:p>
        </w:tc>
        <w:tc>
          <w:tcPr>
            <w:tcW w:w="11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3" w:type="dxa"/>
            <w:tcBorders/>
            <w:vAlign w:val="bottom"/>
          </w:tcPr>
          <w:p>
            <w:pPr>
              <w:pStyle w:val="TableContents"/>
              <w:bidi w:val="0"/>
              <w:spacing w:before="0" w:after="283"/>
              <w:jc w:val="left"/>
              <w:rPr/>
            </w:pPr>
            <w:r>
              <w:rPr/>
              <w:t> </w:t>
            </w:r>
          </w:p>
        </w:tc>
      </w:tr>
      <w:tr>
        <w:trPr/>
        <w:tc>
          <w:tcPr>
            <w:tcW w:w="8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12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3,107,422</w:t>
            </w:r>
          </w:p>
        </w:tc>
        <w:tc>
          <w:tcPr>
            <w:tcW w:w="63" w:type="dxa"/>
            <w:tcBorders/>
            <w:shd w:fill="CCEEFF" w:val="clear"/>
            <w:vAlign w:val="bottom"/>
          </w:tcPr>
          <w:p>
            <w:pPr>
              <w:pStyle w:val="TableContents"/>
              <w:bidi w:val="0"/>
              <w:spacing w:before="0" w:after="283"/>
              <w:jc w:val="left"/>
              <w:rPr/>
            </w:pPr>
            <w:r>
              <w:rPr/>
              <w:t> </w:t>
            </w:r>
          </w:p>
        </w:tc>
      </w:tr>
      <w:tr>
        <w:trPr/>
        <w:tc>
          <w:tcPr>
            <w:tcW w:w="8875"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12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3,107,422</w:t>
            </w:r>
          </w:p>
        </w:tc>
        <w:tc>
          <w:tcPr>
            <w:tcW w:w="63" w:type="dxa"/>
            <w:tcBorders/>
            <w:vAlign w:val="bottom"/>
          </w:tcPr>
          <w:p>
            <w:pPr>
              <w:pStyle w:val="TableContents"/>
              <w:bidi w:val="0"/>
              <w:spacing w:before="0" w:after="283"/>
              <w:jc w:val="left"/>
              <w:rPr/>
            </w:pPr>
            <w:r>
              <w:rPr/>
              <w:t> </w:t>
            </w:r>
          </w:p>
        </w:tc>
      </w:tr>
      <w:tr>
        <w:trPr/>
        <w:tc>
          <w:tcPr>
            <w:tcW w:w="8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Keefe, Bruyette &amp; Woods, Inc.</w:t>
            </w:r>
          </w:p>
        </w:tc>
        <w:tc>
          <w:tcPr>
            <w:tcW w:w="12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953,906</w:t>
            </w:r>
          </w:p>
        </w:tc>
        <w:tc>
          <w:tcPr>
            <w:tcW w:w="63" w:type="dxa"/>
            <w:tcBorders/>
            <w:shd w:fill="CCEEFF" w:val="clear"/>
            <w:vAlign w:val="bottom"/>
          </w:tcPr>
          <w:p>
            <w:pPr>
              <w:pStyle w:val="TableContents"/>
              <w:bidi w:val="0"/>
              <w:spacing w:before="0" w:after="283"/>
              <w:jc w:val="left"/>
              <w:rPr/>
            </w:pPr>
            <w:r>
              <w:rPr/>
              <w:t> </w:t>
            </w:r>
          </w:p>
        </w:tc>
      </w:tr>
      <w:tr>
        <w:trPr/>
        <w:tc>
          <w:tcPr>
            <w:tcW w:w="8875" w:type="dxa"/>
            <w:tcBorders/>
          </w:tcPr>
          <w:p>
            <w:pPr>
              <w:pStyle w:val="TableContents"/>
              <w:bidi w:val="0"/>
              <w:spacing w:before="0" w:after="0"/>
              <w:jc w:val="left"/>
              <w:rPr>
                <w:rFonts w:ascii="Times New Roman" w:hAnsi="Times New Roman"/>
                <w:sz w:val="20"/>
              </w:rPr>
            </w:pPr>
            <w:r>
              <w:rPr>
                <w:rFonts w:ascii="Times New Roman" w:hAnsi="Times New Roman"/>
                <w:sz w:val="20"/>
              </w:rPr>
              <w:t>BMO Capital Markets Corp.</w:t>
            </w:r>
          </w:p>
        </w:tc>
        <w:tc>
          <w:tcPr>
            <w:tcW w:w="12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693,750</w:t>
            </w:r>
          </w:p>
        </w:tc>
        <w:tc>
          <w:tcPr>
            <w:tcW w:w="63" w:type="dxa"/>
            <w:tcBorders/>
            <w:vAlign w:val="bottom"/>
          </w:tcPr>
          <w:p>
            <w:pPr>
              <w:pStyle w:val="TableContents"/>
              <w:bidi w:val="0"/>
              <w:spacing w:before="0" w:after="283"/>
              <w:jc w:val="left"/>
              <w:rPr/>
            </w:pPr>
            <w:r>
              <w:rPr/>
              <w:t> </w:t>
            </w:r>
          </w:p>
        </w:tc>
      </w:tr>
      <w:tr>
        <w:trPr/>
        <w:tc>
          <w:tcPr>
            <w:tcW w:w="8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Citizen JMP Securities, LLC</w:t>
            </w:r>
          </w:p>
        </w:tc>
        <w:tc>
          <w:tcPr>
            <w:tcW w:w="12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693,750</w:t>
            </w:r>
          </w:p>
        </w:tc>
        <w:tc>
          <w:tcPr>
            <w:tcW w:w="63" w:type="dxa"/>
            <w:tcBorders/>
            <w:shd w:fill="CCEEFF" w:val="clear"/>
            <w:vAlign w:val="bottom"/>
          </w:tcPr>
          <w:p>
            <w:pPr>
              <w:pStyle w:val="TableContents"/>
              <w:bidi w:val="0"/>
              <w:spacing w:before="0" w:after="283"/>
              <w:jc w:val="left"/>
              <w:rPr/>
            </w:pPr>
            <w:r>
              <w:rPr/>
              <w:t> </w:t>
            </w:r>
          </w:p>
        </w:tc>
      </w:tr>
      <w:tr>
        <w:trPr/>
        <w:tc>
          <w:tcPr>
            <w:tcW w:w="8875" w:type="dxa"/>
            <w:tcBorders/>
          </w:tcPr>
          <w:p>
            <w:pPr>
              <w:pStyle w:val="TableContents"/>
              <w:bidi w:val="0"/>
              <w:spacing w:before="0" w:after="0"/>
              <w:jc w:val="left"/>
              <w:rPr>
                <w:rFonts w:ascii="Times New Roman" w:hAnsi="Times New Roman"/>
                <w:sz w:val="20"/>
              </w:rPr>
            </w:pPr>
            <w:r>
              <w:rPr>
                <w:rFonts w:ascii="Times New Roman" w:hAnsi="Times New Roman"/>
                <w:sz w:val="20"/>
              </w:rPr>
              <w:t>Oppenheimer &amp; Co. Inc.</w:t>
            </w:r>
          </w:p>
        </w:tc>
        <w:tc>
          <w:tcPr>
            <w:tcW w:w="12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693,750</w:t>
            </w:r>
          </w:p>
        </w:tc>
        <w:tc>
          <w:tcPr>
            <w:tcW w:w="63" w:type="dxa"/>
            <w:tcBorders/>
            <w:vAlign w:val="bottom"/>
          </w:tcPr>
          <w:p>
            <w:pPr>
              <w:pStyle w:val="TableContents"/>
              <w:bidi w:val="0"/>
              <w:spacing w:before="0" w:after="283"/>
              <w:jc w:val="left"/>
              <w:rPr/>
            </w:pPr>
            <w:r>
              <w:rPr/>
              <w:t> </w:t>
            </w:r>
          </w:p>
        </w:tc>
      </w:tr>
      <w:tr>
        <w:trPr/>
        <w:tc>
          <w:tcPr>
            <w:tcW w:w="88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9,250,000</w:t>
            </w:r>
          </w:p>
        </w:tc>
        <w:tc>
          <w:tcPr>
            <w:tcW w:w="63" w:type="dxa"/>
            <w:tcBorders/>
            <w:shd w:fill="CCEEFF" w:val="clear"/>
            <w:vAlign w:val="bottom"/>
          </w:tcPr>
          <w:p>
            <w:pPr>
              <w:pStyle w:val="TableContents"/>
              <w:bidi w:val="0"/>
              <w:spacing w:before="0" w:after="283"/>
              <w:jc w:val="left"/>
              <w:rPr/>
            </w:pPr>
            <w:r>
              <w:rPr/>
              <w:t> </w:t>
            </w:r>
          </w:p>
        </w:tc>
      </w:tr>
      <w:tr>
        <w:trPr/>
        <w:tc>
          <w:tcPr>
            <w:tcW w:w="887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are committed to purchase all shares of our Class A Common Stock offered by the selling stockholder if they purchase any shares. The underwriting agreement provides that if an underwriter defaults, the purchase commitments of non-defaulting underwriters may also be increased or the offering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propose to offer the shares of our Class A Common Stock directly to the public at the public offering price set forth on the cover page of this prospectus and to certain dealers at that price less a concession not in excess of $0.2868 per share. After the offering of the shares to the public, if all of the shares of our Class A Common Stock are not sold at the public offering price, the underwriters may change the offering price and the other selling terms. Sales of any shares made outside of the United States may be made by affiliates of the underwriters. </w:t>
      </w:r>
    </w:p>
    <w:p>
      <w:pPr>
        <w:pStyle w:val="TextBody"/>
        <w:bidi w:val="0"/>
        <w:spacing w:before="360" w:after="0"/>
        <w:jc w:val="left"/>
        <w:rPr>
          <w:rFonts w:ascii="Times New Roman" w:hAnsi="Times New Roman"/>
          <w:b/>
          <w:sz w:val="20"/>
        </w:rPr>
      </w:pPr>
      <w:r>
        <w:rPr>
          <w:rFonts w:ascii="Times New Roman" w:hAnsi="Times New Roman"/>
          <w:b/>
          <w:sz w:val="20"/>
        </w:rPr>
        <w:t xml:space="preserve">Discount and Expenses </w:t>
      </w:r>
    </w:p>
    <w:p>
      <w:pPr>
        <w:pStyle w:val="TextBody"/>
        <w:bidi w:val="0"/>
        <w:spacing w:before="120" w:after="0"/>
        <w:jc w:val="left"/>
        <w:rPr>
          <w:rFonts w:ascii="Times New Roman" w:hAnsi="Times New Roman"/>
          <w:sz w:val="20"/>
        </w:rPr>
      </w:pPr>
      <w:r>
        <w:rPr>
          <w:rFonts w:ascii="Times New Roman" w:hAnsi="Times New Roman"/>
          <w:sz w:val="20"/>
        </w:rPr>
        <w:t xml:space="preserve">The underwriting fee is equal to the offering price per share of our Class A Common Stock less the amount paid by the underwriters to the selling stockholder per share of our Class A Common Stock. The underwriting fee is $0.478 per share. The following table shows the per share and total underwriting discount to be paid to the underwriters assuming both no exercise and full exercise of the underwriters’ option to purchase additional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73"/>
        <w:gridCol w:w="311"/>
        <w:gridCol w:w="156"/>
        <w:gridCol w:w="1421"/>
        <w:gridCol w:w="60"/>
        <w:gridCol w:w="311"/>
        <w:gridCol w:w="149"/>
        <w:gridCol w:w="1360"/>
        <w:gridCol w:w="64"/>
      </w:tblGrid>
      <w:tr>
        <w:trPr/>
        <w:tc>
          <w:tcPr>
            <w:tcW w:w="6373"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373"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5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Without option</w:t>
              <w:br/>
              <w:t>to purchase</w:t>
              <w:br/>
              <w:t>additional</w:t>
              <w:br/>
              <w:t>shares</w:t>
              <w:br/>
              <w:t>exercise</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5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 full option</w:t>
              <w:br/>
              <w:t>to purchase</w:t>
              <w:br/>
              <w:t>additional</w:t>
              <w:br/>
              <w:t>shares</w:t>
              <w:br/>
              <w:t>exercise</w:t>
            </w:r>
          </w:p>
        </w:tc>
        <w:tc>
          <w:tcPr>
            <w:tcW w:w="64" w:type="dxa"/>
            <w:tcBorders/>
            <w:vAlign w:val="bottom"/>
          </w:tcPr>
          <w:p>
            <w:pPr>
              <w:pStyle w:val="TableContents"/>
              <w:bidi w:val="0"/>
              <w:spacing w:before="0" w:after="283"/>
              <w:jc w:val="left"/>
              <w:rPr/>
            </w:pPr>
            <w:r>
              <w:rPr/>
              <w:t> </w:t>
            </w:r>
          </w:p>
        </w:tc>
      </w:tr>
      <w:tr>
        <w:trPr/>
        <w:tc>
          <w:tcPr>
            <w:tcW w:w="63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Share</w:t>
            </w:r>
          </w:p>
        </w:tc>
        <w:tc>
          <w:tcPr>
            <w:tcW w:w="31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1421" w:type="dxa"/>
            <w:tcBorders/>
            <w:shd w:fill="CCEEFF" w:val="clear"/>
            <w:vAlign w:val="bottom"/>
          </w:tcPr>
          <w:p>
            <w:pPr>
              <w:pStyle w:val="TableContents"/>
              <w:bidi w:val="0"/>
              <w:spacing w:before="0" w:after="283"/>
              <w:jc w:val="right"/>
              <w:rPr/>
            </w:pPr>
            <w:r>
              <w:rPr/>
              <w:t>0.478</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1360" w:type="dxa"/>
            <w:tcBorders/>
            <w:shd w:fill="CCEEFF" w:val="clear"/>
            <w:vAlign w:val="bottom"/>
          </w:tcPr>
          <w:p>
            <w:pPr>
              <w:pStyle w:val="TableContents"/>
              <w:bidi w:val="0"/>
              <w:spacing w:before="0" w:after="283"/>
              <w:jc w:val="right"/>
              <w:rPr/>
            </w:pPr>
            <w:r>
              <w:rPr/>
              <w:t>0.478</w:t>
            </w:r>
          </w:p>
        </w:tc>
        <w:tc>
          <w:tcPr>
            <w:tcW w:w="64" w:type="dxa"/>
            <w:tcBorders/>
            <w:shd w:fill="CCEEFF" w:val="clear"/>
            <w:vAlign w:val="bottom"/>
          </w:tcPr>
          <w:p>
            <w:pPr>
              <w:pStyle w:val="TableContents"/>
              <w:bidi w:val="0"/>
              <w:spacing w:before="0" w:after="283"/>
              <w:jc w:val="left"/>
              <w:rPr/>
            </w:pPr>
            <w:r>
              <w:rPr/>
              <w:t> </w:t>
            </w:r>
          </w:p>
        </w:tc>
      </w:tr>
      <w:tr>
        <w:trPr/>
        <w:tc>
          <w:tcPr>
            <w:tcW w:w="6373"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1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1421" w:type="dxa"/>
            <w:tcBorders/>
            <w:vAlign w:val="bottom"/>
          </w:tcPr>
          <w:p>
            <w:pPr>
              <w:pStyle w:val="TableContents"/>
              <w:bidi w:val="0"/>
              <w:spacing w:before="0" w:after="283"/>
              <w:jc w:val="right"/>
              <w:rPr/>
            </w:pPr>
            <w:r>
              <w:rPr/>
              <w:t>4,421,500.00</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1360" w:type="dxa"/>
            <w:tcBorders/>
            <w:vAlign w:val="bottom"/>
          </w:tcPr>
          <w:p>
            <w:pPr>
              <w:pStyle w:val="TableContents"/>
              <w:bidi w:val="0"/>
              <w:spacing w:before="0" w:after="283"/>
              <w:jc w:val="right"/>
              <w:rPr/>
            </w:pPr>
            <w:r>
              <w:rPr/>
              <w:t>5,084,725.00</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that the total expenses of this offering payable by us, including registration, filing and listing fees, printing fees and legal and accounting expenses, but excluding the underwriting discount, will be approximately $665,000. We have agreed to reimburse the underwriters for certain expenses of up to $25,000.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and the accompanying prospectus may be made available in electronic format on the web sites maintained by one or more underwriters, or selling group members, if any, participating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 </w:t>
      </w:r>
    </w:p>
    <w:p>
      <w:pPr>
        <w:pStyle w:val="TextBody"/>
        <w:bidi w:val="0"/>
        <w:spacing w:before="360" w:after="0"/>
        <w:jc w:val="left"/>
        <w:rPr>
          <w:rFonts w:ascii="Times New Roman" w:hAnsi="Times New Roman"/>
          <w:b/>
          <w:sz w:val="20"/>
        </w:rPr>
      </w:pPr>
      <w:r>
        <w:rPr>
          <w:rFonts w:ascii="Times New Roman" w:hAnsi="Times New Roman"/>
          <w:b/>
          <w:sz w:val="20"/>
        </w:rPr>
        <w:t xml:space="preserve">Option to Purchase Additional Shares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have an option to buy up to 1,387,500 additional shares of our Class A Common Stock from the selling stockholder in this offering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our Class A Common Stock are purchased in this offering, the underwriters will offer the additional shares on the same terms as those on which the shares are being offered. </w:t>
      </w:r>
    </w:p>
    <w:p>
      <w:pPr>
        <w:pStyle w:val="TextBody"/>
        <w:bidi w:val="0"/>
        <w:spacing w:before="360" w:after="0"/>
        <w:jc w:val="left"/>
        <w:rPr>
          <w:rFonts w:ascii="Times New Roman" w:hAnsi="Times New Roman"/>
          <w:b/>
          <w:sz w:val="20"/>
        </w:rPr>
      </w:pPr>
      <w:r>
        <w:rPr>
          <w:rFonts w:ascii="Times New Roman" w:hAnsi="Times New Roman"/>
          <w:b/>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We, and all of our directors and executive officers, the selling stockholder, Markel and State Farm (such persons, the “Lock-Up Parties”), have entered into lock-up agreements with the underwriters prior to the commencement of this offering pursuant to which each Lock-Up Party, with certain exceptions, has agreed that, for a period of 60 days after the date of this prospectus supplement, they will not, without the prior written consent of the representatives on behalf of the underwriters, (1) offer, pledge, sell, contract to sell, sell any option or contract to purchase, purchase any option or contract to sell, grant any option, right or warrant to purchase, lend or otherwise transfer or dispose of, directly or indirectly, any shares of our capital stock or any securities convertible into or exercisable or exchangeable for our capital stock, (2) enter into any hedging, swap or other agreement or transaction that transfers, in whole or in part, any of the economic consequences of ownership of such securities, whether any such transaction described in clause (1) or (2) above is to be settled by delivery of such securities, in cash or otherwise, (3) make any demand for, or exercise any right with respect to, the registration of any such securities, or (4) publicly disclose the intention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immediately preceding paragraph do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of securities: (i) as bona fide gifts, or for bona fide estate planning purposes, (ii) by will or intestacy, (iii) to any trust for the direct or indirect benefit of the Lock-Up Party or any immediate family member, (iv) to a corporation, partnership, limited liability company or other entity of which the Lock-Up Party and its immediate family members are the legal and beneficial owner of all of the outstanding equity securities or similar interests, (v) by operation of law, (vi) to us from an employee upon death, disability or termination of employment of such employee, (vii) as part of a sale of such securities acquired in open market transactions after the completion of this offering, among other transactions, or (viii) to us in connection with the vesting, settlement or exercise of restricted stock units, options, warrants or other rights to purchase shares of our Class A Common Stock, in each case provided that the party acquiring the securities agrees to the same restrictions and subject to certain notice requirements and publicity limitations;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of outstanding options, settlement of restricted stock units or other equity awards, or the exercise of warrants described in this prospectus, provided that the securities received upon such exercise or settlement would be subject to these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or exchange of outstanding Class V Common Stock, preferred stock, warrants or other securities ultimately convertible into or exchangeable for shares of Class A Common Stock, provided that any Class A Common Stock received upon such conversion or exchange would be subject to these restrictions;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establishment by the Lock-Up Parties of trading plans under Rule 10b5-1 under the Exchange Act, provided that such plan does not provide for the transfer of securities during the 60-day restricted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of our Class A Common Stock pursuant to the terms of the underwriting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underwriters have agreed that Mr. Hagerty and Mr. Kauffman, a director on our Board, may make bona fide gifts of shares of our Class A Common Stock during the lock-up period without requiring the party that acquires the securities to agree to the same restrictions.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We and the selling stockholder have agreed to indemnify the underwriters against certain liabilities, including liabilities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Price Stabilization, Short Positions and Penalty Bids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Class A Common Stock, which involves the sale by the underwriters of a greater number of shares of Class A Common Stock than they are required to purchase in this offering, and purchasing shares of Class A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Class A Common Stock in the open market that could adversely affect investors who purchase in this offering. To the extent that the underwriters create a naked short position, they will purchase shares in the open market to cover the position.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advised us that, pursuant to Regulation M of the Exchange Act,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as part of this offering to repay the underwriting discount received by them. </w:t>
      </w:r>
    </w:p>
    <w:p>
      <w:pPr>
        <w:pStyle w:val="TextBody"/>
        <w:bidi w:val="0"/>
        <w:spacing w:before="240" w:after="0"/>
        <w:jc w:val="left"/>
        <w:rPr>
          <w:rFonts w:ascii="Times New Roman" w:hAnsi="Times New Roman"/>
          <w:sz w:val="20"/>
        </w:rPr>
      </w:pPr>
      <w:r>
        <w:rPr>
          <w:rFonts w:ascii="Times New Roman" w:hAnsi="Times New Roman"/>
          <w:sz w:val="20"/>
        </w:rPr>
        <w:t xml:space="preserve">These activities may have the effect of raising or maintaining the market price of the Class A Common Stock or preventing or retarding a decline in the market price of the Class A Common Stock, and, as a result, the price of the Class A Common Stock may be higher than the price that otherwise might exist in the open market. If the underwriters commence these activities, they may discontinue them at any time. The underwriters may carry out these transactions on the NYSE, in the over-the-counter market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certain of their affiliates are financial institutions engaged in various activities, which may include securities trading, commercial and investment banking, financial advisory, investment 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investment research, principal investment, hedging, financing and brokerage activities. 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OpCo has a credit agreement with Wells Fargo Bank, National Association, as issuing bank, JPMorgan Chase Bank, N.A., as administrative agent, issuing bank and swingline lender, and the other financial institutions party thereto as lenders for (i) a senior unsecured revolving credit facility with an aggregate borrowing capacity of $375.0 million, the issuance of letters of credit with a $175.0 million sublimit, borrowings in foreign currencies of up to a $100.0 million sublimit, and an uncommitted accordion feature of $75.0 million, plus an unlimited amount so long as OpCo’s net leverage ratio is less than 3.25, and (ii) a prior revolving credit facility with an aggregate borrowing capacity of $305.0 million, the issuance of letters of credit of up to $25.0 million and borrowings in the British Pound and Euro of up to $40.0 million in the aggregate. Wells Fargo Securities, LLC, an underwriter in this offering and an affiliate of Wells Fargo Bank, National Association, acted as a joint bookrunner and joint lead arranger with JPMorgan Chase Bank, N.A. under the credit agreement. JPMorgan Chase Bank, N.A. is an affiliate of J.P. Morgan Securities LLC, an underwriter in this offering.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sz w:val="20"/>
        </w:rPr>
      </w:pPr>
      <w:r>
        <w:rPr>
          <w:rFonts w:ascii="Times New Roman" w:hAnsi="Times New Roman"/>
          <w:sz w:val="20"/>
        </w:rPr>
        <w:t xml:space="preserve">Other than in the United States, no action has been taken by us, the selling stockholder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outside of the United States who come into possession of this prospectus supplement must inform themselves about and observe any restrictions relating to the offering of the shares of our Class A Common Stock and the distribution of this prospectus supplement outside of the United States. The selling stockholder and the underwriters are offering to sell, and seeking offers to buy, shares of our Class A Common Stock only under circumstances and in jurisdictions where it is lawful to do so. This prospectus does not constitute an offer to sell or a solicitation of an offer to buy any securities offered by this prospectus in any jurisdiction in which such an offer or a solicitation is unlawful.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Member State”), an offer to the public of any shares may not be made in that Relevant Member State prior to the publication of a prospectus in relation to the shares which has been approved by the competent authority in that Relevant Member State or, where appropriate, approved in another Relevant State and notified to the competent authority in that Relevant Member State, all in accordance with the Prospectus Regulation, except that an offer to the public in that Relevant State of any shares may be made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the Prospectus Regulation), subject to obtaining the prior consent of the representative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provided that no such offer of shares shall result in a requirement for the company or any of the underwriters to publish a prospectus pursuant to Article 3 of the Prospectus Regulation or a supplemental prospectus pursuant to Article 23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shares being offered to a financial intermediary as that term is used in Article 1(4) of the Prospectus Regulation, each financial intermediary will also be deemed to have represented, warranted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underwriters has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has been prepared on the basis that the offering of the shares falls within one of the exceptions specified in Part 1 of Schedule 1 of the Public Offers and Admissions to Trading Regulations 2024 (the “POATRs”) and, accordingly, there will not be a prospectus prepared or published for the purposes of the POATRs. This prospectus supplement does not constitute a prospectus for the purposes of the POATRs. </w:t>
      </w:r>
    </w:p>
    <w:p>
      <w:pPr>
        <w:pStyle w:val="TextBody"/>
        <w:bidi w:val="0"/>
        <w:spacing w:before="240" w:after="0"/>
        <w:jc w:val="left"/>
        <w:rPr>
          <w:rFonts w:ascii="Times New Roman" w:hAnsi="Times New Roman"/>
          <w:sz w:val="20"/>
        </w:rPr>
      </w:pPr>
      <w:r>
        <w:rPr>
          <w:rFonts w:ascii="Times New Roman" w:hAnsi="Times New Roman"/>
          <w:sz w:val="20"/>
        </w:rPr>
        <w:t xml:space="preserve">Each underwriter has represented and agreed that it has not made and will not make an offer of the shares which are the subject of this prospectus supplement to the public in the United Kingdom, except that it may make an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to any legal entity which is a qualified investor as defined in paragraph 15 of Schedule 1 to the POATRs;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to fewer than 150 persons (other than qualified investors as defined in paragraph 15 of Schedule 1 to the POATRs) in the United Kingdom subject to obtaining the prior consent of relevant underwriters nominated by us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in any other circumstances falling within Part 1 of Schedule 1 to the POATRs.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of securities to the public” in relation to the shares in the United Kingdom means the communication in any form and by any means of sufficient information on the terms of the offer and any shares to be offered so as to enable an investor to decide to purchase or subscribe for the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does not constitute an offer to the public or a solicitation to purchase or invest in any shares. No shares have been offered or will be offered to the public in Switzerland, except that offers of shares may be made to the public in Switzerland at any time under the following exemptions under the Swiss Financial Services Act (“FinSA”):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person which is a professional client as defined under the FinSA;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500 persons (other than professional clients as defined under the FinSA), subject to obtaining the prior consent of the underwriter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36 FinSA in connection with Article 44 of the Swiss Financial Services Ordinance,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shares shall require us or any investment bank to publish a prospectus pursuant to Article 35 FinSA. </w:t>
      </w:r>
    </w:p>
    <w:p>
      <w:pPr>
        <w:pStyle w:val="TextBody"/>
        <w:bidi w:val="0"/>
        <w:spacing w:before="240" w:after="0"/>
        <w:jc w:val="left"/>
        <w:rPr>
          <w:rFonts w:ascii="Times New Roman" w:hAnsi="Times New Roman"/>
          <w:sz w:val="20"/>
        </w:rPr>
      </w:pPr>
      <w:r>
        <w:rPr>
          <w:rFonts w:ascii="Times New Roman" w:hAnsi="Times New Roman"/>
          <w:sz w:val="20"/>
        </w:rPr>
        <w:t xml:space="preserve">The shares have not been and will not be listed or admitted to trading on a trading venue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document nor any other offering or marketing material relating to the shares constitutes a prospectus as such term is understood pursuant to the FinSA, and neither this document nor any other offering or marketing material relating to the shares may be publicly distributed or otherwise made publicly available in Switzerland.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Dubai International Financial Centre (the “DIFC”)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relates to an Exempt Offer in accordance with the Markets Law, DIFC Law No.1 of 2012, as amended. This document is intended for distribution only to persons of a type specified in the Markets Law, DIFC Law No. 1 of 2012, as amended. It must not be delivered to, or relied on by, any other person. The Dubai Financial Services Authority (the “DFSA”) has no responsibility for reviewing or verifying any documents in connection with Exempt Offers. The DFSA has not approved this document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United Arab Emirates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and are not being, publicly offered, sold, promoted or advertised in the United Arab Emirates (including the DIFC) other than in compliance with the laws of the United Arab Emirates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DIFC) governing the issue, offering and sale of securities. Further, this prospectus supplement does not constitute a public offer of securities in the United Arab Emirates (including the DIFC) and is not intended to be a public offer. This prospectus supplement has not been approved by or filed with the Central Bank of the United Arab Emirates, the Securities and Commodities Authority, Financial Services Regulatory Authority or DFSA.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constitute a disclosure document or a prospectus under Chapter 6D.2 of the Corporations Act 2001 (Cth)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only be provided in Australia to select investors who are able to demonstrate that they fall within one or more of the categories of investors, available under section 708 of the Corporations Act (“Exempt Investors”).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 </w:t>
      </w:r>
    </w:p>
    <w:p>
      <w:pPr>
        <w:pStyle w:val="TextBody"/>
        <w:bidi w:val="0"/>
        <w:spacing w:before="240" w:after="0"/>
        <w:jc w:val="left"/>
        <w:rPr>
          <w:rFonts w:ascii="Times New Roman" w:hAnsi="Times New Roman"/>
          <w:sz w:val="20"/>
        </w:rPr>
      </w:pPr>
      <w:r>
        <w:rPr>
          <w:rFonts w:ascii="Times New Roman" w:hAnsi="Times New Roman"/>
          <w:sz w:val="20"/>
        </w:rPr>
        <w:t xml:space="preserve">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 and Miscellaneous Provisions) Ordinance (Cap. 32 of the Laws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This prospectus supplement and the accompanying prospectus have not been registered as a prospectus with the Monetary Authority of Singapore. Accordingly, no shares have been or will be offered or sold and no shares have been or will be made the subject of an invitation for subscription or purchase, and no prospectus or prospectus supplement or any other document or material in connection with the offer or sale, or invitation for subscription or purchase, of the securities, has been or will be circulated or distributed, whether directly or indirectly, to any person in Singapore other than (i) to an institutional investor (as defined in Section 4A of the Securities and Futures Act 2001 of Singapore, as modified or amended from time to time (the “</w:t>
      </w:r>
      <w:r>
        <w:rPr>
          <w:rFonts w:ascii="Times New Roman" w:hAnsi="Times New Roman"/>
          <w:b/>
          <w:sz w:val="20"/>
        </w:rPr>
        <w:t>SFA</w:t>
      </w:r>
      <w:r>
        <w:rPr>
          <w:rFonts w:ascii="Times New Roman" w:hAnsi="Times New Roman"/>
          <w:sz w:val="20"/>
        </w:rPr>
        <w:t xml:space="preserve">”)) pursuant to Section 274 of the SFA or (ii) to an accredited investor (as defined in Section 4A of the SFA) pursuant to and in accordance with the conditions specified in Section 275 of the SFA.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Bermuda </w:t>
      </w:r>
    </w:p>
    <w:p>
      <w:pPr>
        <w:pStyle w:val="TextBody"/>
        <w:bidi w:val="0"/>
        <w:spacing w:before="120" w:after="0"/>
        <w:jc w:val="left"/>
        <w:rPr>
          <w:rFonts w:ascii="Times New Roman" w:hAnsi="Times New Roman"/>
          <w:sz w:val="20"/>
        </w:rPr>
      </w:pPr>
      <w:r>
        <w:rPr>
          <w:rFonts w:ascii="Times New Roman" w:hAnsi="Times New Roman"/>
          <w:sz w:val="20"/>
        </w:rPr>
        <w:t xml:space="preserve">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Saudi Arabia </w:t>
      </w:r>
    </w:p>
    <w:p>
      <w:pPr>
        <w:pStyle w:val="TextBody"/>
        <w:bidi w:val="0"/>
        <w:spacing w:before="120" w:after="0"/>
        <w:jc w:val="left"/>
        <w:rPr>
          <w:rFonts w:ascii="Times New Roman" w:hAnsi="Times New Roman"/>
          <w:sz w:val="20"/>
        </w:rPr>
      </w:pPr>
      <w:r>
        <w:rPr>
          <w:rFonts w:ascii="Times New Roman" w:hAnsi="Times New Roman"/>
          <w:sz w:val="20"/>
        </w:rPr>
        <w:t xml:space="preserve">This document may not be distributed in the Kingdom of Saudi Arabia except to such persons as are permitted under the Rules on the Offer of Securities Regulations as issued by the board of the Saudi Arabian Capital Market Authority (the “CMA”), pursuant to resolution number 2-11-2004 dated 4 October 2004 as amended by resolution number 3-123-2017 dated December 2017, as amended.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British Virgin Islands </w:t>
      </w:r>
    </w:p>
    <w:p>
      <w:pPr>
        <w:pStyle w:val="TextBody"/>
        <w:bidi w:val="0"/>
        <w:spacing w:before="120" w:after="0"/>
        <w:jc w:val="left"/>
        <w:rPr>
          <w:rFonts w:ascii="Times New Roman" w:hAnsi="Times New Roman"/>
          <w:sz w:val="20"/>
        </w:rPr>
      </w:pPr>
      <w:r>
        <w:rPr>
          <w:rFonts w:ascii="Times New Roman" w:hAnsi="Times New Roman"/>
          <w:sz w:val="20"/>
        </w:rPr>
        <w:t xml:space="preserve">The shares are not being, and may not be offered to the public or to any person in the British Virgin Islands for purchase or subscription by or on behalf of the Company. The shares may be offered to companies incorporated under the BVI Business Companies Act, 2004 (British Virgin Islands) (the “BVI Companies”), but only where the offer will be made to, and received by, the relevant BVI Company entirely outside of the British Virgin Islands.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China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will not be circulated or distributed in the PRC and the shares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supplement nor any advertisement or other offering material may be distributed or published in the PRC, except under circumstances that will result in compliance with applicable laws and regulations.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Korea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The shares have not been listed on any of the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Malaysia </w:t>
      </w:r>
    </w:p>
    <w:p>
      <w:pPr>
        <w:pStyle w:val="TextBody"/>
        <w:bidi w:val="0"/>
        <w:spacing w:before="120" w:after="0"/>
        <w:jc w:val="left"/>
        <w:rPr>
          <w:rFonts w:ascii="Times New Roman" w:hAnsi="Times New Roman"/>
          <w:sz w:val="20"/>
        </w:rPr>
      </w:pPr>
      <w:r>
        <w:rPr>
          <w:rFonts w:ascii="Times New Roman" w:hAnsi="Times New Roman"/>
          <w:sz w:val="20"/>
        </w:rPr>
        <w:t xml:space="preserve">No prospectus or other offering material or document in connection with the offer and sale of the shares has been or will be registered with the Securities Commission of Malaysia (the “Commission”), for the Commission’s approval pursuant to the Capital Markets and Services Act 2007.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each of the preceding categories (i) to (xi), the distribution of the shares is made by a holder of a Capital Markets Services License who carries on the business of dealing in securities. The distribution in Malaysia of this prospectus supplement is subject to Malaysian laws. This prospectus supplement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Taiwan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Act of Taiwan that requires a registration or approval of the Financial Supervisory Commission of Taiwan. No person or entity in Taiwan has been authorized to offer, sell, give advice regarding or otherwise intermediate the offering and sale of the shares in Taiwan.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South Africa </w:t>
      </w:r>
    </w:p>
    <w:p>
      <w:pPr>
        <w:pStyle w:val="TextBody"/>
        <w:bidi w:val="0"/>
        <w:spacing w:before="120" w:after="0"/>
        <w:jc w:val="left"/>
        <w:rPr>
          <w:rFonts w:ascii="Times New Roman" w:hAnsi="Times New Roman"/>
          <w:sz w:val="20"/>
        </w:rPr>
      </w:pPr>
      <w:r>
        <w:rPr>
          <w:rFonts w:ascii="Times New Roman" w:hAnsi="Times New Roman"/>
          <w:sz w:val="20"/>
        </w:rPr>
        <w:t>Due to restrictions under the securities laws of South Africa, no “</w:t>
      </w:r>
      <w:r>
        <w:rPr>
          <w:rFonts w:ascii="Times New Roman" w:hAnsi="Times New Roman"/>
          <w:i/>
          <w:sz w:val="20"/>
        </w:rPr>
        <w:t>offer to the public</w:t>
      </w:r>
      <w:r>
        <w:rPr>
          <w:rFonts w:ascii="Times New Roman" w:hAnsi="Times New Roman"/>
          <w:sz w:val="20"/>
        </w:rPr>
        <w:t>” (as such term is defined in the South African Companies Act, No. 71 of 2008 (as amended or re-enacted), (the “South African Companies Act”)) is being made in connection with the issue of the shares in South Africa. Accordingly, this document does not, nor is it intended to, constitute a “</w:t>
      </w:r>
      <w:r>
        <w:rPr>
          <w:rFonts w:ascii="Times New Roman" w:hAnsi="Times New Roman"/>
          <w:i/>
          <w:sz w:val="20"/>
        </w:rPr>
        <w:t>registered prospectus</w:t>
      </w:r>
      <w:r>
        <w:rPr>
          <w:rFonts w:ascii="Times New Roman" w:hAnsi="Times New Roman"/>
          <w:sz w:val="20"/>
        </w:rPr>
        <w:t xml:space="preserve">”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 with an address in South Africa, unless one or other of the following exemptions stipulated in section 96 (1) applies: </w:t>
      </w:r>
    </w:p>
    <w:p>
      <w:pPr>
        <w:pStyle w:val="TextBody"/>
        <w:bidi w:val="0"/>
        <w:spacing w:before="240" w:after="0"/>
        <w:jc w:val="left"/>
        <w:rPr>
          <w:rFonts w:ascii="Times New Roman" w:hAnsi="Times New Roman"/>
          <w:sz w:val="20"/>
        </w:rPr>
      </w:pPr>
      <w:r>
        <w:rPr>
          <w:rFonts w:ascii="Times New Roman" w:hAnsi="Times New Roman"/>
          <w:sz w:val="20"/>
        </w:rPr>
        <w:t xml:space="preserve">Section 96 (1)(a) the offer, transfer, sale, renunciation or delivery is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whose ordinary business, or part of whose ordinary business, is to deal in securities, as principal or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South African Public Investment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or entities regulated by the Reserve Bank of South Africa;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authorized financial service providers under South African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recognized as such under South African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wholly-owned subsidiary of any person or entity contemplated in (c), (d) or (e), acting as agent in the capacity of an authorized portfolio manager for a pension fund, or as manager for a collective investment scheme (in each case duly registered as such under South African law);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the person in (i) to (vi); 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96 (1)(b) 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 </w:t>
      </w:r>
    </w:p>
    <w:p>
      <w:pPr>
        <w:pStyle w:val="TextBody"/>
        <w:bidi w:val="0"/>
        <w:spacing w:before="240" w:after="0"/>
        <w:jc w:val="left"/>
        <w:rPr>
          <w:rFonts w:ascii="Times New Roman" w:hAnsi="Times New Roman"/>
          <w:sz w:val="20"/>
        </w:rPr>
      </w:pPr>
      <w:r>
        <w:rPr>
          <w:rFonts w:ascii="Times New Roman" w:hAnsi="Times New Roman"/>
          <w:sz w:val="20"/>
        </w:rPr>
        <w:t xml:space="preserve">Information made available in this prospectus supplement should not be considered as “advice” as defined in the South African Financial Advisory and Intermediary Services Act, 2002.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New Zealand </w:t>
      </w:r>
    </w:p>
    <w:p>
      <w:pPr>
        <w:pStyle w:val="TextBody"/>
        <w:bidi w:val="0"/>
        <w:spacing w:before="120" w:after="0"/>
        <w:jc w:val="left"/>
        <w:rPr>
          <w:rFonts w:ascii="Times New Roman" w:hAnsi="Times New Roman"/>
          <w:sz w:val="20"/>
        </w:rPr>
      </w:pPr>
      <w:r>
        <w:rPr>
          <w:rFonts w:ascii="Times New Roman" w:hAnsi="Times New Roman"/>
          <w:sz w:val="20"/>
        </w:rPr>
        <w:t xml:space="preserve">This document has not been registered, filed with or approved by any New Zealand regulatory authority under the Financial Markets Conduct Act 2013 (the “FMC Act”). The shares may only be offered or sold in New Zealand (or allotted with a view to being offered for sale in New Zealand) to a person who: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an investment business within the meaning of clause 37 of Schedule I of the FMC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meets the investment activity criteria in clause 38 of Schedule I of the FMC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large within the meaning of clause 39 of Schedule I of the FMC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government agency within the meaning of clause 40 of Schedule I of the FMC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an eligible investor within the meaning of clause 41 of Schedule I of the FMC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toc111580_10"/>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DLA Piper LLP (US), Phoenix, Arizona, will pass upon the validity of the shares of our Class A Common Stock being offered by this prospectus supplement. Skadden, Arps, Slate, Meagher  &amp; Flom LLP, New York, New York is acting as counsel to the underwriters. </w:t>
      </w:r>
    </w:p>
    <w:p>
      <w:pPr>
        <w:pStyle w:val="TextBody"/>
        <w:bidi w:val="0"/>
        <w:spacing w:before="480" w:after="0"/>
        <w:jc w:val="center"/>
        <w:rPr>
          <w:rFonts w:ascii="Times New Roman" w:hAnsi="Times New Roman"/>
          <w:b/>
          <w:sz w:val="20"/>
        </w:rPr>
      </w:pPr>
      <w:bookmarkStart w:id="13" w:name="suptoc111580_11"/>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Hagerty, Inc. as of December 31, 2025 and 2024, and for each of the three years in the period ended December 31, 2025, incorporated by reference in this prospectus, and the effectiveness of Hagerty, Inc.’s internal control over financial reporting have been audited by Deloitte &amp; Touche LLP, an independent registered public accounting firm, as stated in their reports. Such financial statements are incorporated by reference in reliance upon the report of such firm given their authority as experts in accounting and auditing. </w:t>
      </w:r>
    </w:p>
    <w:p>
      <w:pPr>
        <w:pStyle w:val="TextBody"/>
        <w:bidi w:val="0"/>
        <w:spacing w:before="480" w:after="0"/>
        <w:jc w:val="center"/>
        <w:rPr>
          <w:rFonts w:ascii="Times New Roman" w:hAnsi="Times New Roman"/>
          <w:b/>
          <w:sz w:val="20"/>
        </w:rPr>
      </w:pPr>
      <w:bookmarkStart w:id="14" w:name="suptoc111580_12"/>
      <w:bookmarkEnd w:id="14"/>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the Registration Statement with respect to the shares of our Class A Common Stock being offered by this prospectus supplement and the accompanying prospectus, each of which form a part of the Registration Statement. This prospectus supplement does not contain all of the information set forth in the Registration Statement. For further information with respect to us and the shares of our Class A Common Stock, reference is made to the Registration Statement and its exhibits. Statements contained in this prospectus supplement as to the contents of any contract or other document are not necessarily complete. We are required to file with or furnish to the SEC annual, quarterly and current reports, proxy statements, and other information. Such materials may be accessed electronically by means of the SEC’s website at www.sec.gov.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 website at </w:t>
      </w:r>
      <w:r>
        <w:rPr>
          <w:rFonts w:ascii="Times New Roman" w:hAnsi="Times New Roman"/>
          <w:i/>
          <w:sz w:val="20"/>
        </w:rPr>
        <w:t>Hagerty.com</w:t>
      </w:r>
      <w:r>
        <w:rPr>
          <w:rFonts w:ascii="Times New Roman" w:hAnsi="Times New Roman"/>
          <w:sz w:val="20"/>
        </w:rPr>
        <w:t xml:space="preserve"> where you may access these materials free of charge as soon as reasonably practicable after they are electronically filed with, or furnished to, the SEC. The information on or that can be accessed through our website is not a part of this prospectus and the inclusion of our website address in this prospectus is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uptoc111580_13"/>
      <w:bookmarkEnd w:id="15"/>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supplement and the accompanying prospectus, which means that we can disclose important information to you by referring you to another document filed separately with the SEC. The documents incorporated by reference into this prospectus supplement and the accompanying prospectus contain important information that you should read about us. The information is deemed to be part of this prospectus supplement and the accompanying prospectus, and subsequent information that we file with the SEC will automatically update and supersede that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are incorporated by reference into this prospectus supplement and the accompanying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February 26,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from our </w:t>
            </w:r>
            <w:hyperlink r:id="rId4">
              <w:r>
                <w:rPr>
                  <w:rStyle w:val="InternetLink"/>
                  <w:rFonts w:ascii="Times New Roman" w:hAnsi="Times New Roman"/>
                  <w:sz w:val="20"/>
                </w:rPr>
                <w:t>Definitive Proxy Statement on Schedule 14A</w:t>
              </w:r>
            </w:hyperlink>
            <w:r>
              <w:rPr>
                <w:rFonts w:ascii="Times New Roman" w:hAnsi="Times New Roman"/>
                <w:sz w:val="20"/>
              </w:rPr>
              <w:t xml:space="preserve">, filed with the SEC on April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quarterly periods ended </w:t>
            </w:r>
            <w:hyperlink r:id="rId5">
              <w:r>
                <w:rPr>
                  <w:rStyle w:val="InternetLink"/>
                  <w:rFonts w:ascii="Times New Roman" w:hAnsi="Times New Roman"/>
                  <w:sz w:val="20"/>
                </w:rPr>
                <w:t>March 31, 2026</w:t>
              </w:r>
            </w:hyperlink>
            <w:r>
              <w:rPr>
                <w:rFonts w:ascii="Times New Roman" w:hAnsi="Times New Roman"/>
                <w:sz w:val="20"/>
              </w:rPr>
              <w:t xml:space="preserve"> and </w:t>
            </w:r>
            <w:hyperlink r:id="rId6">
              <w:r>
                <w:rPr>
                  <w:rStyle w:val="InternetLink"/>
                  <w:rFonts w:ascii="Times New Roman" w:hAnsi="Times New Roman"/>
                  <w:sz w:val="20"/>
                </w:rPr>
                <w:t>June 30, 2026</w:t>
              </w:r>
            </w:hyperlink>
            <w:r>
              <w:rPr>
                <w:rFonts w:ascii="Times New Roman" w:hAnsi="Times New Roman"/>
                <w:sz w:val="20"/>
              </w:rPr>
              <w:t xml:space="preserve">, as filed with the SEC on May 6, 2026 and August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January 2, 2026</w:t>
              </w:r>
            </w:hyperlink>
            <w:r>
              <w:rPr>
                <w:rFonts w:ascii="Times New Roman" w:hAnsi="Times New Roman"/>
                <w:sz w:val="20"/>
              </w:rPr>
              <w:t xml:space="preserve">, </w:t>
            </w:r>
            <w:hyperlink r:id="rId8">
              <w:r>
                <w:rPr>
                  <w:rStyle w:val="InternetLink"/>
                  <w:rFonts w:ascii="Times New Roman" w:hAnsi="Times New Roman"/>
                  <w:sz w:val="20"/>
                </w:rPr>
                <w:t>February  26, 2026</w:t>
              </w:r>
            </w:hyperlink>
            <w:r>
              <w:rPr>
                <w:rFonts w:ascii="Times New Roman" w:hAnsi="Times New Roman"/>
                <w:sz w:val="20"/>
              </w:rPr>
              <w:t xml:space="preserve">, </w:t>
            </w:r>
            <w:hyperlink r:id="rId9">
              <w:r>
                <w:rPr>
                  <w:rStyle w:val="InternetLink"/>
                  <w:rFonts w:ascii="Times New Roman" w:hAnsi="Times New Roman"/>
                  <w:sz w:val="20"/>
                </w:rPr>
                <w:t>April  15, 2026</w:t>
              </w:r>
            </w:hyperlink>
            <w:r>
              <w:rPr>
                <w:rFonts w:ascii="Times New Roman" w:hAnsi="Times New Roman"/>
                <w:sz w:val="20"/>
              </w:rPr>
              <w:t xml:space="preserve">, </w:t>
            </w:r>
            <w:hyperlink r:id="rId10">
              <w:r>
                <w:rPr>
                  <w:rStyle w:val="InternetLink"/>
                  <w:rFonts w:ascii="Times New Roman" w:hAnsi="Times New Roman"/>
                  <w:sz w:val="20"/>
                </w:rPr>
                <w:t>May  6, 2026</w:t>
              </w:r>
            </w:hyperlink>
            <w:r>
              <w:rPr>
                <w:rFonts w:ascii="Times New Roman" w:hAnsi="Times New Roman"/>
                <w:sz w:val="20"/>
              </w:rPr>
              <w:t xml:space="preserve">, </w:t>
            </w:r>
            <w:hyperlink r:id="rId11">
              <w:r>
                <w:rPr>
                  <w:rStyle w:val="InternetLink"/>
                  <w:rFonts w:ascii="Times New Roman" w:hAnsi="Times New Roman"/>
                  <w:sz w:val="20"/>
                </w:rPr>
                <w:t>June  12, 2026</w:t>
              </w:r>
            </w:hyperlink>
            <w:r>
              <w:rPr>
                <w:rFonts w:ascii="Times New Roman" w:hAnsi="Times New Roman"/>
                <w:sz w:val="20"/>
              </w:rPr>
              <w:t xml:space="preserve">, and </w:t>
            </w:r>
            <w:hyperlink r:id="rId12">
              <w:r>
                <w:rPr>
                  <w:rStyle w:val="InternetLink"/>
                  <w:rFonts w:ascii="Times New Roman" w:hAnsi="Times New Roman"/>
                  <w:sz w:val="20"/>
                </w:rPr>
                <w:t>July 17, 2026</w:t>
              </w:r>
            </w:hyperlink>
            <w:r>
              <w:rPr>
                <w:rFonts w:ascii="Times New Roman" w:hAnsi="Times New Roman"/>
                <w:sz w:val="20"/>
              </w:rPr>
              <w:t xml:space="preserve"> (in each case excluding any information furnished pursuant to Item 2.02 or Item 7.01 and related exhibits under Item 9.01);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description of our common stock contained in Exhibit 4.1 to our Annual Report on Form 10-K for the year ended December 31, 2025, and any amendment or report filed with the SEC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herein or in a document incorporated or deemed to be incorporated by reference into this prospectus will be deemed to be modified or superseded for purposes of the document to the extent that a statement contained in this document or any other subsequently filed document that is deemed to be incorporated by reference into this document modifies or supersedes the statement. </w:t>
      </w:r>
    </w:p>
    <w:p>
      <w:pPr>
        <w:pStyle w:val="TextBody"/>
        <w:bidi w:val="0"/>
        <w:spacing w:before="240" w:after="0"/>
        <w:jc w:val="left"/>
        <w:rPr>
          <w:rFonts w:ascii="Times New Roman" w:hAnsi="Times New Roman"/>
          <w:sz w:val="20"/>
        </w:rPr>
      </w:pPr>
      <w:r>
        <w:rPr>
          <w:rFonts w:ascii="Times New Roman" w:hAnsi="Times New Roman"/>
          <w:sz w:val="20"/>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Requests should be directed to: Hagerty, Inc., Attn: Investor Relations, 121 Drivers Edge, Traverse City, Michigan 49684. Our telephone number is (800) 922-4050.</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16"/>
        </w:rPr>
      </w:pPr>
      <w:r>
        <w:rPr>
          <w:rFonts w:ascii="Times New Roman" w:hAnsi="Times New Roman"/>
          <w:b/>
          <w:sz w:val="16"/>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604770" cy="4864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2604770" cy="486410"/>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Up to 251,033,906 Shares of Class A Common Stock Issuable Upon Exchange of Class V Common Stock and OpCo Units </w:t>
      </w:r>
    </w:p>
    <w:p>
      <w:pPr>
        <w:pStyle w:val="TextBody"/>
        <w:bidi w:val="0"/>
        <w:spacing w:before="60" w:after="0"/>
        <w:jc w:val="center"/>
        <w:rPr>
          <w:rFonts w:ascii="Times New Roman" w:hAnsi="Times New Roman"/>
          <w:b/>
          <w:sz w:val="20"/>
        </w:rPr>
      </w:pPr>
      <w:r>
        <w:rPr>
          <w:rFonts w:ascii="Times New Roman" w:hAnsi="Times New Roman"/>
          <w:b/>
          <w:sz w:val="20"/>
        </w:rPr>
        <w:t xml:space="preserve">Up to 20,005,550 Shares of Class A Common Stock Issuable Upon Exercise of Warrants </w:t>
      </w:r>
    </w:p>
    <w:p>
      <w:pPr>
        <w:pStyle w:val="TextBody"/>
        <w:bidi w:val="0"/>
        <w:spacing w:before="60" w:after="0"/>
        <w:jc w:val="center"/>
        <w:rPr>
          <w:rFonts w:ascii="Times New Roman" w:hAnsi="Times New Roman"/>
          <w:b/>
          <w:sz w:val="20"/>
        </w:rPr>
      </w:pPr>
      <w:r>
        <w:rPr>
          <w:rFonts w:ascii="Times New Roman" w:hAnsi="Times New Roman"/>
          <w:b/>
          <w:sz w:val="20"/>
        </w:rPr>
        <w:t xml:space="preserve">Up to 339,121,956 Shares of Class A Common Stock Offered by the Selling Securityholders </w:t>
      </w:r>
    </w:p>
    <w:p>
      <w:pPr>
        <w:pStyle w:val="TextBody"/>
        <w:bidi w:val="0"/>
        <w:spacing w:before="60" w:after="0"/>
        <w:jc w:val="center"/>
        <w:rPr>
          <w:rFonts w:ascii="Times New Roman" w:hAnsi="Times New Roman"/>
          <w:b/>
          <w:sz w:val="20"/>
        </w:rPr>
      </w:pPr>
      <w:r>
        <w:rPr>
          <w:rFonts w:ascii="Times New Roman" w:hAnsi="Times New Roman"/>
          <w:b/>
          <w:sz w:val="20"/>
        </w:rPr>
        <w:t xml:space="preserve">Up to 12,669,300 PIPE Warrants Offered by the Selling Securityholders </w:t>
      </w:r>
    </w:p>
    <w:p>
      <w:pPr>
        <w:pStyle w:val="TextBody"/>
        <w:bidi w:val="0"/>
        <w:spacing w:before="60" w:after="0"/>
        <w:jc w:val="center"/>
        <w:rPr>
          <w:rFonts w:ascii="Times New Roman" w:hAnsi="Times New Roman"/>
          <w:b/>
          <w:sz w:val="20"/>
        </w:rPr>
      </w:pPr>
      <w:r>
        <w:rPr>
          <w:rFonts w:ascii="Times New Roman" w:hAnsi="Times New Roman"/>
          <w:b/>
          <w:sz w:val="20"/>
        </w:rPr>
        <w:t xml:space="preserve">Up to 1,300,000 OTM Warrants Offered by the Selling Securityholders </w:t>
      </w:r>
    </w:p>
    <w:p>
      <w:pPr>
        <w:pStyle w:val="TextBody"/>
        <w:bidi w:val="0"/>
        <w:spacing w:before="60" w:after="0"/>
        <w:jc w:val="center"/>
        <w:rPr>
          <w:rFonts w:ascii="Times New Roman" w:hAnsi="Times New Roman"/>
          <w:b/>
          <w:sz w:val="20"/>
        </w:rPr>
      </w:pPr>
      <w:r>
        <w:rPr>
          <w:rFonts w:ascii="Times New Roman" w:hAnsi="Times New Roman"/>
          <w:b/>
          <w:sz w:val="20"/>
        </w:rPr>
        <w:t xml:space="preserve">Up to 257,500 Private Placement Warrants Offered by the Selling Securityholders </w:t>
      </w:r>
    </w:p>
    <w:p>
      <w:pPr>
        <w:pStyle w:val="TextBody"/>
        <w:bidi w:val="0"/>
        <w:spacing w:before="60" w:after="0"/>
        <w:jc w:val="center"/>
        <w:rPr>
          <w:rFonts w:ascii="Times New Roman" w:hAnsi="Times New Roman"/>
          <w:b/>
          <w:sz w:val="20"/>
        </w:rPr>
      </w:pPr>
      <w:r>
        <w:rPr>
          <w:rFonts w:ascii="Times New Roman" w:hAnsi="Times New Roman"/>
          <w:b/>
          <w:sz w:val="20"/>
        </w:rPr>
        <w:t xml:space="preserve">Up to 28,750 Underwriter Warrants Offered by the Selling Securityholders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6"/>
        </w:rPr>
      </w:pPr>
      <w:r>
        <w:rPr>
          <w:rFonts w:ascii="Times New Roman" w:hAnsi="Times New Roman"/>
          <w:sz w:val="16"/>
        </w:rPr>
        <w:t>This prospectus relates to (i) the issuance by us and resale by certain selling securityholders named herein (the “</w:t>
      </w:r>
      <w:r>
        <w:rPr>
          <w:rFonts w:ascii="Times New Roman" w:hAnsi="Times New Roman"/>
          <w:b/>
          <w:i/>
          <w:sz w:val="16"/>
        </w:rPr>
        <w:t>Selling Securityholders</w:t>
      </w:r>
      <w:r>
        <w:rPr>
          <w:rFonts w:ascii="Times New Roman" w:hAnsi="Times New Roman"/>
          <w:sz w:val="16"/>
        </w:rPr>
        <w:t>”) of up to 251,033,906 shares of our Class A common stock, par value $0.0001 per share (“</w:t>
      </w:r>
      <w:r>
        <w:rPr>
          <w:rFonts w:ascii="Times New Roman" w:hAnsi="Times New Roman"/>
          <w:b/>
          <w:i/>
          <w:sz w:val="16"/>
        </w:rPr>
        <w:t>Class A Common Stock</w:t>
      </w:r>
      <w:r>
        <w:rPr>
          <w:rFonts w:ascii="Times New Roman" w:hAnsi="Times New Roman"/>
          <w:sz w:val="16"/>
        </w:rPr>
        <w:t>”) issuable upon exchange of our shares of Class V common stock, par value $0.0001 per share (“</w:t>
      </w:r>
      <w:r>
        <w:rPr>
          <w:rFonts w:ascii="Times New Roman" w:hAnsi="Times New Roman"/>
          <w:b/>
          <w:i/>
          <w:sz w:val="16"/>
        </w:rPr>
        <w:t>Class V Common Stock</w:t>
      </w:r>
      <w:r>
        <w:rPr>
          <w:rFonts w:ascii="Times New Roman" w:hAnsi="Times New Roman"/>
          <w:sz w:val="16"/>
        </w:rPr>
        <w:t>”), and units in The Hagerty Group, LLC (“</w:t>
      </w:r>
      <w:r>
        <w:rPr>
          <w:rFonts w:ascii="Times New Roman" w:hAnsi="Times New Roman"/>
          <w:b/>
          <w:i/>
          <w:sz w:val="16"/>
        </w:rPr>
        <w:t>OpCo Units</w:t>
      </w:r>
      <w:r>
        <w:rPr>
          <w:rFonts w:ascii="Times New Roman" w:hAnsi="Times New Roman"/>
          <w:sz w:val="16"/>
        </w:rPr>
        <w:t>”), (ii) the issuance by us of up to 5,750,000 shares of Class A Common Stock upon exercise of the warrants issued to the public as part of the units in Aldel Financial, Inc.’s (“</w:t>
      </w:r>
      <w:r>
        <w:rPr>
          <w:rFonts w:ascii="Times New Roman" w:hAnsi="Times New Roman"/>
          <w:b/>
          <w:i/>
          <w:sz w:val="16"/>
        </w:rPr>
        <w:t>Aldel</w:t>
      </w:r>
      <w:r>
        <w:rPr>
          <w:rFonts w:ascii="Times New Roman" w:hAnsi="Times New Roman"/>
          <w:sz w:val="16"/>
        </w:rPr>
        <w:t>”) initial public offering (the “</w:t>
      </w:r>
      <w:r>
        <w:rPr>
          <w:rFonts w:ascii="Times New Roman" w:hAnsi="Times New Roman"/>
          <w:b/>
          <w:i/>
          <w:sz w:val="16"/>
        </w:rPr>
        <w:t>Public Warrants</w:t>
      </w:r>
      <w:r>
        <w:rPr>
          <w:rFonts w:ascii="Times New Roman" w:hAnsi="Times New Roman"/>
          <w:sz w:val="16"/>
        </w:rPr>
        <w:t>”), (iii) the issuance by us and resale by certain Selling Securityholders of up to (A) 12,669,300 shares of Class A Common Stock upon exercise of the warrants (the “</w:t>
      </w:r>
      <w:r>
        <w:rPr>
          <w:rFonts w:ascii="Times New Roman" w:hAnsi="Times New Roman"/>
          <w:b/>
          <w:i/>
          <w:sz w:val="16"/>
        </w:rPr>
        <w:t>PIPE Warrants</w:t>
      </w:r>
      <w:r>
        <w:rPr>
          <w:rFonts w:ascii="Times New Roman" w:hAnsi="Times New Roman"/>
          <w:sz w:val="16"/>
        </w:rPr>
        <w:t>”) that were issued to certain qualified institutional buyers and accredited investors pursuant to subscription agreements dated as of August 17, 2021, (B) 1,300,000 shares of Class A Common Stock upon exercise of the warrants (the “</w:t>
      </w:r>
      <w:r>
        <w:rPr>
          <w:rFonts w:ascii="Times New Roman" w:hAnsi="Times New Roman"/>
          <w:b/>
          <w:i/>
          <w:sz w:val="16"/>
        </w:rPr>
        <w:t>OTM Warrants</w:t>
      </w:r>
      <w:r>
        <w:rPr>
          <w:rFonts w:ascii="Times New Roman" w:hAnsi="Times New Roman"/>
          <w:sz w:val="16"/>
        </w:rPr>
        <w:t>”) originally issued to Aldel Investors LLC and FG SPAC Partners LP in a private placement in connection with Aldel’s initial public offering, (C) 257,500 shares of Class A Common Stock upon exercise of the warrants (the “</w:t>
      </w:r>
      <w:r>
        <w:rPr>
          <w:rFonts w:ascii="Times New Roman" w:hAnsi="Times New Roman"/>
          <w:b/>
          <w:i/>
          <w:sz w:val="16"/>
        </w:rPr>
        <w:t>Private Placement Warrants</w:t>
      </w:r>
      <w:r>
        <w:rPr>
          <w:rFonts w:ascii="Times New Roman" w:hAnsi="Times New Roman"/>
          <w:sz w:val="16"/>
        </w:rPr>
        <w:t>”) originally issued in a private placement in connection with Aldel’s initial public offering, and (D) 28,750 shares of Class A Common Stock upon exercise of the warrants (the “</w:t>
      </w:r>
      <w:r>
        <w:rPr>
          <w:rFonts w:ascii="Times New Roman" w:hAnsi="Times New Roman"/>
          <w:b/>
          <w:i/>
          <w:sz w:val="16"/>
        </w:rPr>
        <w:t>Underwriter Warrants</w:t>
      </w:r>
      <w:r>
        <w:rPr>
          <w:rFonts w:ascii="Times New Roman" w:hAnsi="Times New Roman"/>
          <w:sz w:val="16"/>
        </w:rPr>
        <w:t>”, and, together with the Public Warrants, the PIPE Warrants, the OTM Warrants and the Private Placement Warrants, the “</w:t>
      </w:r>
      <w:r>
        <w:rPr>
          <w:rFonts w:ascii="Times New Roman" w:hAnsi="Times New Roman"/>
          <w:b/>
          <w:i/>
          <w:sz w:val="16"/>
        </w:rPr>
        <w:t>Warrants</w:t>
      </w:r>
      <w:r>
        <w:rPr>
          <w:rFonts w:ascii="Times New Roman" w:hAnsi="Times New Roman"/>
          <w:sz w:val="16"/>
        </w:rPr>
        <w:t xml:space="preserve">”), originally issued to ThinkEquity LLC in connection with Aldel’s initial public offering, (iv) the resale by certain Selling Securityholders of up to 73,832,500 shares of Class A Common Stock, and (v) the resale by certain Selling Securityholders of up to 12,669,300 PIPE Warrants, 1,300,000 OTM Warrants, 257,500 Private Placement Warrants, and 28,750 Underwriter Warrants. </w:t>
      </w:r>
    </w:p>
    <w:p>
      <w:pPr>
        <w:pStyle w:val="TextBody"/>
        <w:bidi w:val="0"/>
        <w:spacing w:before="120" w:after="0"/>
        <w:jc w:val="left"/>
        <w:rPr>
          <w:rFonts w:ascii="Times New Roman" w:hAnsi="Times New Roman"/>
          <w:sz w:val="16"/>
        </w:rPr>
      </w:pPr>
      <w:r>
        <w:rPr>
          <w:rFonts w:ascii="Times New Roman" w:hAnsi="Times New Roman"/>
          <w:sz w:val="16"/>
        </w:rPr>
        <w:t>We are registering the securities for resale pursuant to the Selling Securityholders’ registration rights under certain agreements between us and the Selling Securityholders. Our registration of the securities covered by this prospectus does not mean that the Selling Securityholders will offer or sell any of the shares of Class A Common Stock or Warrants. The Selling Securityholders may offer, sell or distribute all or a portion of their shares of Class A Common Stock or Warrants publicly or through private transactions at prevailing market prices or at negotiated prices. We provide more information about how the Selling Securityholders may sell shares of Class A Common Stock or Warrants in the section entitled “</w:t>
      </w:r>
      <w:r>
        <w:rPr>
          <w:rFonts w:ascii="Times New Roman" w:hAnsi="Times New Roman"/>
          <w:i/>
          <w:sz w:val="16"/>
        </w:rPr>
        <w:t>Plan of Distribution</w:t>
      </w:r>
      <w:r>
        <w:rPr>
          <w:rFonts w:ascii="Times New Roman" w:hAnsi="Times New Roman"/>
          <w:sz w:val="16"/>
        </w:rPr>
        <w:t xml:space="preserve">.” </w:t>
      </w:r>
    </w:p>
    <w:p>
      <w:pPr>
        <w:pStyle w:val="TextBody"/>
        <w:bidi w:val="0"/>
        <w:spacing w:before="120" w:after="0"/>
        <w:jc w:val="left"/>
        <w:rPr>
          <w:rFonts w:ascii="Times New Roman" w:hAnsi="Times New Roman"/>
          <w:sz w:val="16"/>
        </w:rPr>
      </w:pPr>
      <w:r>
        <w:rPr>
          <w:rFonts w:ascii="Times New Roman" w:hAnsi="Times New Roman"/>
          <w:sz w:val="16"/>
        </w:rPr>
        <w:t xml:space="preserve">We will pay all fees and expenses in connection with the registration of the securities pursuant to this prospectus and we will not receive any proceeds from the sale of the shares of Class A Common Stock or Warrants by the Selling Securityholders. We will receive the proceeds from any exercise of any Warrants for cash or the sale of previously unregistered shares. </w:t>
      </w:r>
    </w:p>
    <w:p>
      <w:pPr>
        <w:pStyle w:val="TextBody"/>
        <w:bidi w:val="0"/>
        <w:spacing w:before="120" w:after="0"/>
        <w:jc w:val="left"/>
        <w:rPr>
          <w:rFonts w:ascii="Times New Roman" w:hAnsi="Times New Roman"/>
          <w:sz w:val="16"/>
        </w:rPr>
      </w:pPr>
      <w:r>
        <w:rPr>
          <w:rFonts w:ascii="Times New Roman" w:hAnsi="Times New Roman"/>
          <w:sz w:val="16"/>
        </w:rPr>
        <w:t xml:space="preserve">This prospectus provides you with a general description of the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 </w:t>
      </w:r>
    </w:p>
    <w:p>
      <w:pPr>
        <w:pStyle w:val="TextBody"/>
        <w:bidi w:val="0"/>
        <w:spacing w:before="120" w:after="0"/>
        <w:jc w:val="left"/>
        <w:rPr>
          <w:rFonts w:ascii="Times New Roman" w:hAnsi="Times New Roman"/>
          <w:sz w:val="16"/>
        </w:rPr>
      </w:pPr>
      <w:r>
        <w:rPr>
          <w:rFonts w:ascii="Times New Roman" w:hAnsi="Times New Roman"/>
          <w:sz w:val="16"/>
        </w:rPr>
        <w:t xml:space="preserve">You should read this prospectus and any prospectus supplement or amendment carefully before you invest in our securities. </w:t>
      </w:r>
    </w:p>
    <w:p>
      <w:pPr>
        <w:pStyle w:val="TextBody"/>
        <w:bidi w:val="0"/>
        <w:spacing w:before="120" w:after="0"/>
        <w:jc w:val="left"/>
        <w:rPr>
          <w:rFonts w:ascii="Times New Roman" w:hAnsi="Times New Roman"/>
          <w:sz w:val="16"/>
        </w:rPr>
      </w:pPr>
      <w:r>
        <w:rPr>
          <w:rFonts w:ascii="Times New Roman" w:hAnsi="Times New Roman"/>
          <w:sz w:val="16"/>
        </w:rPr>
        <w:t>Our Class A Common Stock and our Public Warrants are listed on the New York Stock Exchange (“</w:t>
      </w:r>
      <w:r>
        <w:rPr>
          <w:rFonts w:ascii="Times New Roman" w:hAnsi="Times New Roman"/>
          <w:b/>
          <w:i/>
          <w:sz w:val="16"/>
        </w:rPr>
        <w:t>NYSE</w:t>
      </w:r>
      <w:r>
        <w:rPr>
          <w:rFonts w:ascii="Times New Roman" w:hAnsi="Times New Roman"/>
          <w:sz w:val="16"/>
        </w:rPr>
        <w:t xml:space="preserve">”) under the symbols “HGTY” and “HGTY.WT,” respectively. On February 6, 2023, the closing price of our Class A Common Stock was $9.70 and the closing price for our Public Warrants was $2.91.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pPr>
      <w:r>
        <w:rPr>
          <w:rFonts w:ascii="Times New Roman" w:hAnsi="Times New Roman"/>
          <w:b/>
          <w:sz w:val="22"/>
        </w:rPr>
        <w:t>Investing in our Class  A Common Stock involves a high degree of risk. See the section entitled “</w:t>
      </w:r>
      <w:hyperlink w:anchor="rom111580_5">
        <w:r>
          <w:rPr>
            <w:rStyle w:val="InternetLink"/>
            <w:rFonts w:ascii="Times New Roman" w:hAnsi="Times New Roman"/>
            <w:b/>
            <w:sz w:val="22"/>
          </w:rPr>
          <w:t>Risk Factors</w:t>
        </w:r>
      </w:hyperlink>
      <w:r>
        <w:rPr>
          <w:rFonts w:ascii="Times New Roman" w:hAnsi="Times New Roman"/>
          <w:b/>
          <w:sz w:val="22"/>
        </w:rPr>
        <w:t xml:space="preserve">” beginning on page 5 of this prospectus to read about factors you should consider before buying our securities. </w:t>
      </w:r>
    </w:p>
    <w:p>
      <w:pPr>
        <w:pStyle w:val="TextBody"/>
        <w:bidi w:val="0"/>
        <w:spacing w:before="120" w:after="0"/>
        <w:jc w:val="left"/>
        <w:rPr>
          <w:rFonts w:ascii="Times New Roman" w:hAnsi="Times New Roman"/>
          <w:b/>
          <w:sz w:val="16"/>
        </w:rPr>
      </w:pPr>
      <w:r>
        <w:rPr>
          <w:rFonts w:ascii="Times New Roman" w:hAnsi="Times New Roman"/>
          <w:b/>
          <w:sz w:val="16"/>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6"/>
        </w:rPr>
      </w:pPr>
      <w:r>
        <w:rPr>
          <w:rFonts w:ascii="Times New Roman" w:hAnsi="Times New Roman"/>
          <w:b/>
          <w:sz w:val="16"/>
        </w:rPr>
        <w:t xml:space="preserve">The date of this prospectus is February 7,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11580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11580_2">
              <w:r>
                <w:rPr>
                  <w:rStyle w:val="InternetLink"/>
                  <w:rFonts w:ascii="Times New Roman" w:hAnsi="Times New Roman"/>
                  <w:sz w:val="20"/>
                </w:rPr>
                <w:t>CAUTIONARY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iii</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11580_3">
              <w:r>
                <w:rPr>
                  <w:rStyle w:val="InternetLink"/>
                  <w:rFonts w:ascii="Times New Roman" w:hAnsi="Times New Roman"/>
                  <w:sz w:val="20"/>
                </w:rPr>
                <w:t>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11580_4">
              <w:r>
                <w:rPr>
                  <w:rStyle w:val="InternetLink"/>
                  <w:rFonts w:ascii="Times New Roman" w:hAnsi="Times New Roman"/>
                  <w:sz w:val="20"/>
                </w:rPr>
                <w:t>THE OFFERING</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11580_5">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11580_6">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11580_7">
              <w:r>
                <w:rPr>
                  <w:rStyle w:val="InternetLink"/>
                  <w:rFonts w:ascii="Times New Roman" w:hAnsi="Times New Roman"/>
                  <w:sz w:val="20"/>
                </w:rPr>
                <w:t>DESCRIPTION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11580_8">
              <w:r>
                <w:rPr>
                  <w:rStyle w:val="InternetLink"/>
                  <w:rFonts w:ascii="Times New Roman" w:hAnsi="Times New Roman"/>
                  <w:sz w:val="20"/>
                </w:rPr>
                <w:t>SELLING SECURITYHOLDERS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11580_9">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11580_10">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11580_11">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11580_12">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111580_13">
              <w:r>
                <w:rPr>
                  <w:rStyle w:val="InternetLink"/>
                  <w:rFonts w:ascii="Times New Roman" w:hAnsi="Times New Roman"/>
                  <w:sz w:val="20"/>
                </w:rPr>
                <w:t>INCORPORATION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rom111580_1"/>
      <w:bookmarkEnd w:id="16"/>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unless the context indicates otherwise, references to “Hagerty,” “Company,” “we,” “us,” “our” and similar terms refer to Hagerty, Inc., a Delaware corporation, and its consolidated subsidiaries. References to “Aldel” refer to the Company prior to the consummation of the Business Combination (as defined herein).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this prospectus is not complete and may be changed. You should rely only on the information provided in or incorporated by reference in this prospectus, in any prospectus supplement or in a related free writing prospectus, post-effective amendment to the registration statement or documents to which we otherwise refer you. </w:t>
      </w:r>
    </w:p>
    <w:p>
      <w:pPr>
        <w:pStyle w:val="TextBody"/>
        <w:bidi w:val="0"/>
        <w:spacing w:before="240" w:after="0"/>
        <w:jc w:val="left"/>
        <w:rPr>
          <w:rFonts w:ascii="Times New Roman" w:hAnsi="Times New Roman"/>
          <w:b/>
          <w:sz w:val="20"/>
        </w:rPr>
      </w:pPr>
      <w:r>
        <w:rPr>
          <w:rFonts w:ascii="Times New Roman" w:hAnsi="Times New Roman"/>
          <w:b/>
          <w:sz w:val="20"/>
        </w:rPr>
        <w:t xml:space="preserve">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This prospectus and any accompanying prospectus supplement, if any, do not constitute an offer to sell or the solicitation of an offer to buy any securities other than the registered securities to which they relate, nor do this prospectus and any accompanying prospectus supplement, if any, constitute an offer to sell or the solicitation of an offer to buy securities in any jurisdiction to any person to whom it is unlawful to make such offer or solicitation in such jurisdiction. You should not assume that the information contained in this prospectus and any accompanying prospectus supplement, if any, is accurate on any date subsequent to the date set forth on the front of such document or that any information we have incorporated by reference is correct on any date subsequent to the date of the document incorporated by reference, even though this prospectus and any accompanying prospectus supplement, if any, is delivered or securities are sold on a later date. </w:t>
      </w:r>
    </w:p>
    <w:p>
      <w:pPr>
        <w:pStyle w:val="TextBody"/>
        <w:bidi w:val="0"/>
        <w:spacing w:before="240" w:after="0"/>
        <w:jc w:val="left"/>
        <w:rPr>
          <w:rFonts w:ascii="Times New Roman" w:hAnsi="Times New Roman"/>
          <w:sz w:val="20"/>
        </w:rPr>
      </w:pPr>
      <w:r>
        <w:rPr>
          <w:rFonts w:ascii="Times New Roman" w:hAnsi="Times New Roman"/>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entitled “</w:t>
      </w:r>
      <w:r>
        <w:rPr>
          <w:rFonts w:ascii="Times New Roman" w:hAnsi="Times New Roman"/>
          <w:i/>
          <w:sz w:val="20"/>
        </w:rPr>
        <w:t>Where You Can Find More Information</w:t>
      </w:r>
      <w:r>
        <w:rPr>
          <w:rFonts w:ascii="Times New Roman" w:hAnsi="Times New Roman"/>
          <w:sz w:val="20"/>
        </w:rPr>
        <w:t>” and “</w:t>
      </w:r>
      <w:r>
        <w:rPr>
          <w:rFonts w:ascii="Times New Roman" w:hAnsi="Times New Roman"/>
          <w:i/>
          <w:sz w:val="20"/>
        </w:rPr>
        <w:t>Incorporation by Reference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rom111580_2"/>
      <w:bookmarkEnd w:id="17"/>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This prospectus, any accompanying prospectus supplement or amendment may contain forward-looking statements as defined in Section 27A of the Securities Act of 1933, as amended (the “</w:t>
      </w:r>
      <w:r>
        <w:rPr>
          <w:rFonts w:ascii="Times New Roman" w:hAnsi="Times New Roman"/>
          <w:b/>
          <w:i/>
          <w:sz w:val="20"/>
        </w:rPr>
        <w:t>Securities Act</w:t>
      </w:r>
      <w:r>
        <w:rPr>
          <w:rFonts w:ascii="Times New Roman" w:hAnsi="Times New Roman"/>
          <w:sz w:val="20"/>
        </w:rPr>
        <w:t>”), Section 21E of the Securities Exchange Act of 1934, as amended (the “</w:t>
      </w:r>
      <w:r>
        <w:rPr>
          <w:rFonts w:ascii="Times New Roman" w:hAnsi="Times New Roman"/>
          <w:b/>
          <w:i/>
          <w:sz w:val="20"/>
        </w:rPr>
        <w:t>Exchange Act</w:t>
      </w:r>
      <w:r>
        <w:rPr>
          <w:rFonts w:ascii="Times New Roman" w:hAnsi="Times New Roman"/>
          <w:sz w:val="20"/>
        </w:rPr>
        <w:t xml:space="preserve">”), the Private Securities Litigation Reform Act of 1995 or in releases made by the SEC, all as may be amended from time to time. Generally, statements that are not historical facts, including statements concerning our possible or assumed future actions, business strategies, events or results of operations, are forward-looking statements. These forward-looking statements can often be identified by the use of forward-looking terminology, including the words “believes,” “estimates,” “expects,” “projects,” “forecasts,” “may,” “will,” “should,” “seeks,” “plans,” “scheduled,” “anticipates” or “intends” or similar expressions. Examples of forward-looking statements include, among others, statements we make regarding: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for our results of operations, financial condition and cash flows;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compete effectively within our industry and attract and retain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key strategic relationships with our insurance distribution and underwriting carrier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and projections relating to our competitors and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expand the scope of our membership products and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growth rates and market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manage risks associated with disruptions, interruptions, outages or other issues with our technology platforms or our use of third-party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of adoption of our membership products as well as any new insurance programs and products we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manage the cyclical nature of the insurance business, including through any periods of recession, economic downturn or inflation;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frequency or severity of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manage risks associated with being a controlled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defend any litigation, government inquiries, and investigations.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caution you that the foregoing list may not contain all of the forward-looking statements made in this prospectus and the documents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Forward-looking statements are inherently subject to risks, uncertainties and assumptions. The forward-looking statements contained in this prospectus are based on management’s current expectations, assumptions and beliefs concerning future developments, but actual results may differ materially due to various risks and uncertainties, some of which are beyond our control. These risks and uncertainties include, but are not limited to, those described in (i) the “</w:t>
      </w:r>
      <w:r>
        <w:rPr>
          <w:rFonts w:ascii="Times New Roman" w:hAnsi="Times New Roman"/>
          <w:i/>
          <w:sz w:val="20"/>
        </w:rPr>
        <w:t>Risk Factors</w:t>
      </w:r>
      <w:r>
        <w:rPr>
          <w:rFonts w:ascii="Times New Roman" w:hAnsi="Times New Roman"/>
          <w:sz w:val="20"/>
        </w:rPr>
        <w:t xml:space="preserve">” section in this prospectus, (ii) “Item 1A. Risk Factors” of our Annual Report on Form 10-K for the year ended December 31, 2021, and (iii) other of our filings with the SEC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prospectus. In addition, even if our results of operations, financial condition and liquidity, and developments in the industry in which we operate are consistent with the forward-looking statements contained in this prospectus, those results or developments may not be indicative of results or developments in subsequent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forward-looking statements attributable to us or persons acting on our behalf are expressly qualified in their entirety by the foregoing cautionary statements. Except as required by law, we do not intend to update any of these forward-looking statements after the date of this prospectus or after the date of the documents incorporated by reference herein or to conform these statements to actual results or revised expectations.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8" w:name="rom111580_3"/>
      <w:bookmarkEnd w:id="18"/>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appearing elsewhere in this prospectus. Because it is a summary, it may not contain all of the information that may be important to you. To understand this offering fully, you should carefully read this entire prospectus and the registration statement of which this prospectus is a part, including the information set forth under the heading “Risk Factors” and our financial statements.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Business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global market leader in providing insurance for classic and enthusiast vehicles and we have built an industry-leading automotive enthusiast platform that engages, entertains, and connects with subscribing members. At Hagerty, everything begins and ends with the love of cars—an innate passion that fuels our unique membership model and cultivates deep, personal connections with more than 2.6 million members worldwide.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Hagerty was founded in 1984, and initially focused on providing insurance coverage for antique boats. Today, our goal is to scale an organization capable of building an ecosystem of products, services, and entertainment for car lovers that catalyzes their passion for cars and driving.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Business Combination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On December 2, 2021, through The Hagerty Group, LLC, a Delaware limited liability company (“</w:t>
      </w:r>
      <w:r>
        <w:rPr>
          <w:rFonts w:ascii="Times New Roman" w:hAnsi="Times New Roman"/>
          <w:b/>
          <w:i/>
          <w:sz w:val="20"/>
          <w:bdr w:val="single" w:sz="8" w:space="1" w:color="000000"/>
        </w:rPr>
        <w:t>The Hagerty Group</w:t>
      </w:r>
      <w:r>
        <w:rPr>
          <w:rFonts w:ascii="Times New Roman" w:hAnsi="Times New Roman"/>
          <w:sz w:val="20"/>
          <w:bdr w:val="single" w:sz="8" w:space="1" w:color="000000"/>
        </w:rPr>
        <w:t>”), we completed our initial business combination (the “</w:t>
      </w:r>
      <w:r>
        <w:rPr>
          <w:rFonts w:ascii="Times New Roman" w:hAnsi="Times New Roman"/>
          <w:b/>
          <w:i/>
          <w:sz w:val="20"/>
          <w:bdr w:val="single" w:sz="8" w:space="1" w:color="000000"/>
        </w:rPr>
        <w:t>Business Combination</w:t>
      </w:r>
      <w:r>
        <w:rPr>
          <w:rFonts w:ascii="Times New Roman" w:hAnsi="Times New Roman"/>
          <w:sz w:val="20"/>
          <w:bdr w:val="single" w:sz="8" w:space="1" w:color="000000"/>
        </w:rPr>
        <w:t>”) pursuant to that certain Business Combination Agreement, dated as of August 17, 2021 (the “</w:t>
      </w:r>
      <w:r>
        <w:rPr>
          <w:rFonts w:ascii="Times New Roman" w:hAnsi="Times New Roman"/>
          <w:b/>
          <w:i/>
          <w:sz w:val="20"/>
          <w:bdr w:val="single" w:sz="8" w:space="1" w:color="000000"/>
        </w:rPr>
        <w:t>Business Combination Agreement</w:t>
      </w:r>
      <w:r>
        <w:rPr>
          <w:rFonts w:ascii="Times New Roman" w:hAnsi="Times New Roman"/>
          <w:sz w:val="20"/>
          <w:bdr w:val="single" w:sz="8" w:space="1" w:color="000000"/>
        </w:rPr>
        <w:t>”) with Aldel Financial Inc. (“</w:t>
      </w:r>
      <w:r>
        <w:rPr>
          <w:rFonts w:ascii="Times New Roman" w:hAnsi="Times New Roman"/>
          <w:b/>
          <w:i/>
          <w:sz w:val="20"/>
          <w:bdr w:val="single" w:sz="8" w:space="1" w:color="000000"/>
        </w:rPr>
        <w:t>Aldel</w:t>
      </w:r>
      <w:r>
        <w:rPr>
          <w:rFonts w:ascii="Times New Roman" w:hAnsi="Times New Roman"/>
          <w:sz w:val="20"/>
          <w:bdr w:val="single" w:sz="8" w:space="1" w:color="000000"/>
        </w:rPr>
        <w:t>”) and Aldel Merger Sub LLC (“</w:t>
      </w:r>
      <w:r>
        <w:rPr>
          <w:rFonts w:ascii="Times New Roman" w:hAnsi="Times New Roman"/>
          <w:b/>
          <w:i/>
          <w:sz w:val="20"/>
          <w:bdr w:val="single" w:sz="8" w:space="1" w:color="000000"/>
        </w:rPr>
        <w:t>Merger Sub</w:t>
      </w:r>
      <w:r>
        <w:rPr>
          <w:rFonts w:ascii="Times New Roman" w:hAnsi="Times New Roman"/>
          <w:sz w:val="20"/>
          <w:bdr w:val="single" w:sz="8" w:space="1" w:color="000000"/>
        </w:rPr>
        <w:t xml:space="preserve">”), with The Hagerty Group surviving as our wholly owned subsidiary immediately following the Business Combination. In connection with the closing of the Business Combination, we changed our name from Aldel Financial Inc. to Hagerty, Inc.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terms of the Business Combination Agreement, (i) Merger Sub was merged with and into The Hagerty Group, where upon the separate limited liability company existence of Merger Sub ceased to exist and The Hagerty Group became the surviving company and continues to exist under the Delaware Limited Liability Company Act and (ii) the existing limited liability company agreement of The Hagerty Group was amended and restated to, among other things, make Aldel a member of The Hagerty Group.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Also on December 2, 2021, we sold to a number of purchasers (each, a “</w:t>
      </w:r>
      <w:r>
        <w:rPr>
          <w:rFonts w:ascii="Times New Roman" w:hAnsi="Times New Roman"/>
          <w:b/>
          <w:i/>
          <w:sz w:val="20"/>
          <w:bdr w:val="single" w:sz="8" w:space="1" w:color="000000"/>
        </w:rPr>
        <w:t>Subscriber</w:t>
      </w:r>
      <w:r>
        <w:rPr>
          <w:rFonts w:ascii="Times New Roman" w:hAnsi="Times New Roman"/>
          <w:sz w:val="20"/>
          <w:bdr w:val="single" w:sz="8" w:space="1" w:color="000000"/>
        </w:rPr>
        <w:t>”) an aggregate of 70,385,000 shares of Aldel Common Stock (the “</w:t>
      </w:r>
      <w:r>
        <w:rPr>
          <w:rFonts w:ascii="Times New Roman" w:hAnsi="Times New Roman"/>
          <w:b/>
          <w:i/>
          <w:sz w:val="20"/>
          <w:bdr w:val="single" w:sz="8" w:space="1" w:color="000000"/>
        </w:rPr>
        <w:t>PIPE Shares</w:t>
      </w:r>
      <w:r>
        <w:rPr>
          <w:rFonts w:ascii="Times New Roman" w:hAnsi="Times New Roman"/>
          <w:sz w:val="20"/>
          <w:bdr w:val="single" w:sz="8" w:space="1" w:color="000000"/>
        </w:rPr>
        <w:t>”) and an aggregate of 12,669,300 warrants to purchase shares of Aldel Class A Common Stock (the “</w:t>
      </w:r>
      <w:r>
        <w:rPr>
          <w:rFonts w:ascii="Times New Roman" w:hAnsi="Times New Roman"/>
          <w:b/>
          <w:i/>
          <w:sz w:val="20"/>
          <w:bdr w:val="single" w:sz="8" w:space="1" w:color="000000"/>
        </w:rPr>
        <w:t>PIPE Warrants</w:t>
      </w:r>
      <w:r>
        <w:rPr>
          <w:rFonts w:ascii="Times New Roman" w:hAnsi="Times New Roman"/>
          <w:sz w:val="20"/>
          <w:bdr w:val="single" w:sz="8" w:space="1" w:color="000000"/>
        </w:rPr>
        <w:t>” and, together with the PIPE Shares, the “</w:t>
      </w:r>
      <w:r>
        <w:rPr>
          <w:rFonts w:ascii="Times New Roman" w:hAnsi="Times New Roman"/>
          <w:b/>
          <w:i/>
          <w:sz w:val="20"/>
          <w:bdr w:val="single" w:sz="8" w:space="1" w:color="000000"/>
        </w:rPr>
        <w:t>PIPE Securities</w:t>
      </w:r>
      <w:r>
        <w:rPr>
          <w:rFonts w:ascii="Times New Roman" w:hAnsi="Times New Roman"/>
          <w:sz w:val="20"/>
          <w:bdr w:val="single" w:sz="8" w:space="1" w:color="000000"/>
        </w:rPr>
        <w:t>”) for an aggregate purchase price of $703.9 million (the “</w:t>
      </w:r>
      <w:r>
        <w:rPr>
          <w:rFonts w:ascii="Times New Roman" w:hAnsi="Times New Roman"/>
          <w:b/>
          <w:i/>
          <w:sz w:val="20"/>
          <w:bdr w:val="single" w:sz="8" w:space="1" w:color="000000"/>
        </w:rPr>
        <w:t>PIPE Financing</w:t>
      </w:r>
      <w:r>
        <w:rPr>
          <w:rFonts w:ascii="Times New Roman" w:hAnsi="Times New Roman"/>
          <w:sz w:val="20"/>
          <w:bdr w:val="single" w:sz="8" w:space="1" w:color="000000"/>
        </w:rPr>
        <w:t>”), pursuant to separate subscription agreements entered into effective as of August 17, 2021 (each, a “</w:t>
      </w:r>
      <w:r>
        <w:rPr>
          <w:rFonts w:ascii="Times New Roman" w:hAnsi="Times New Roman"/>
          <w:b/>
          <w:i/>
          <w:sz w:val="20"/>
          <w:bdr w:val="single" w:sz="8" w:space="1" w:color="000000"/>
        </w:rPr>
        <w:t>Subscription Agreement</w:t>
      </w:r>
      <w:r>
        <w:rPr>
          <w:rFonts w:ascii="Times New Roman" w:hAnsi="Times New Roman"/>
          <w:sz w:val="20"/>
          <w:bdr w:val="single" w:sz="8" w:space="1" w:color="000000"/>
        </w:rPr>
        <w:t xml:space="preserve">”). Pursuant to the Subscription Agreements, we gave certain registration rights to the Subscribers with respect to the PIPE Securities.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Class A Common Stock and our Public Warrants are currently listed on the NYSE under the symbols “HGTY” and “HGTY.WT,” respectively.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rights of holders of our Class A Common Stock and Warrants are governed by our Third Amended and Restated Certificate of Incorporation (the “</w:t>
      </w:r>
      <w:r>
        <w:rPr>
          <w:rFonts w:ascii="Times New Roman" w:hAnsi="Times New Roman"/>
          <w:b/>
          <w:i/>
          <w:sz w:val="20"/>
          <w:bdr w:val="single" w:sz="8" w:space="1" w:color="000000"/>
        </w:rPr>
        <w:t>Amended and Restated Charter</w:t>
      </w:r>
      <w:r>
        <w:rPr>
          <w:rFonts w:ascii="Times New Roman" w:hAnsi="Times New Roman"/>
          <w:sz w:val="20"/>
          <w:bdr w:val="single" w:sz="8" w:space="1" w:color="000000"/>
        </w:rPr>
        <w:t>”), our Amended and Restated Bylaws (the “</w:t>
      </w:r>
      <w:r>
        <w:rPr>
          <w:rFonts w:ascii="Times New Roman" w:hAnsi="Times New Roman"/>
          <w:b/>
          <w:i/>
          <w:sz w:val="20"/>
          <w:bdr w:val="single" w:sz="8" w:space="1" w:color="000000"/>
        </w:rPr>
        <w:t>Amended and Restated Bylaws</w:t>
      </w:r>
      <w:r>
        <w:rPr>
          <w:rFonts w:ascii="Times New Roman" w:hAnsi="Times New Roman"/>
          <w:sz w:val="20"/>
          <w:bdr w:val="single" w:sz="8" w:space="1" w:color="000000"/>
        </w:rPr>
        <w:t>”) and the Delaware General Corporation Law (the “</w:t>
      </w:r>
      <w:r>
        <w:rPr>
          <w:rFonts w:ascii="Times New Roman" w:hAnsi="Times New Roman"/>
          <w:b/>
          <w:i/>
          <w:sz w:val="20"/>
          <w:bdr w:val="single" w:sz="8" w:space="1" w:color="000000"/>
        </w:rPr>
        <w:t>DGCL</w:t>
      </w:r>
      <w:r>
        <w:rPr>
          <w:rFonts w:ascii="Times New Roman" w:hAnsi="Times New Roman"/>
          <w:sz w:val="20"/>
          <w:bdr w:val="single" w:sz="8" w:space="1" w:color="000000"/>
        </w:rPr>
        <w:t xml:space="preserve">”), and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case of the Public Warrants, OTM Warrants, Underwriter Warrants and Private Placement Warrants, the Warrant Agreement dated as of April 8, 2021, between us and Continental Stock Transfer &amp; Trust Company, as warrant agent, and in the case of the PIPE Warrants, the Warrant Agreement dated as of December 2, 2021, between us and Continental Stock Transfer &amp; Trust Company, as warrant agent. See the section entitled “</w:t>
      </w:r>
      <w:r>
        <w:rPr>
          <w:rFonts w:ascii="Times New Roman" w:hAnsi="Times New Roman"/>
          <w:i/>
          <w:sz w:val="20"/>
          <w:bdr w:val="single" w:sz="8" w:space="1" w:color="000000"/>
        </w:rPr>
        <w:t>Description of Securities.</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first Hagerty company was founded in 1984 under the name Hagerty Marine Insurance Agency, Inc. The Hagerty Group, LLC was formed in 2009 and completed the Business Combination with Aldel in 2021 pursuant to which The Hagerty Group succeeded to its reporting obligations and Aldel changed its name to Hagerty, Inc. Our principal executive offices are located at 121 Drivers Edge, Traverse City, Michigan 49684, and our telephone number is (800) 922-4050. Our website address is Hagerty.com. Information contained on our website or connected thereto does not constitute part of, and is not incorporated by reference into, this prospectus or the registration statement of which it is a part.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own various U.S. federal trademarks and unregistered trademarks, including our company name, logo and solution names and other trade or service marks. All other trademarks or trade names referred to in this prospectus are the property of their respective owners. Solely for convenience, the trademarks and trade names in this prospectus are referred to without the symbols ® and ™, but such references should not be construed as any indicator that their respective owners will not assert, to the fullest extent under applicable law, their rights thereto.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qualify as an “emerging growth company” as defined in the Jumpstart Our Business Startups Act of 2012, or the JOBS Act. An emerging growth company may take advantage of relief from certain reporting requirements and other burdens that are otherwise applicable generally to public companies. These provisions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obligations with respect to financial data, including presenting only two years of audited financial statements and only two years of selected financial data;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compliance with the auditor attestation requirements with respect to internal control over financial reporting under Section 404 of the Sarbanes-Oxley Act of 2002, or the Sarbanes-Oxley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about our executive compensation arrangements in our periodic reports, proxy statements, and registration statements;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exemptions from the requirements of holding non-binding advisory votes on executive compensation or golden parachute arrangements.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under the JOBS Act, emerging growth companies can delay adopting new or revised accounting standards until such time as those standards apply to private companies. We intend to avail ourselves of this extended transition period and, accordingly, we may not be subject to the same new or revised accounting standards as other public companies that are not emerging growth companies or that have opted out of using such extended transition period, which may make comparison of our financial statements with those of other public companies more difficult.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take advantage of this relief until we no longer qualify as an emerging growth company or, with respect to adoption of certain new or revised accounting standards, until we irrevocably elect to opt out of using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extended transition period. We will remain an emerging growth company until the earliest of (i) the last day of the fiscal year in which the market value of Class A Common Stock that is held by non-affiliates exceeds $700 million as of June 30 of that fiscal year, (ii) the last day of the fiscal year in which we have total annual gross revenue of $1.07 billion or more; (iii) the date on which we have issued more than $1 billion in non-convertible debt during the previous three years; and (iv) the last day of the fiscal year following the fifth anniversary of the date of the first sale of Aldel common stock in Aldel’s initial public offering. We may choose to take advantage of some but not all of these reduced reporting burdens.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9" w:name="rom111580_4"/>
      <w:bookmarkEnd w:id="19"/>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7" w:type="dxa"/>
            <w:tcBorders/>
          </w:tcPr>
          <w:p>
            <w:pPr>
              <w:pStyle w:val="TableContents"/>
              <w:bidi w:val="0"/>
              <w:spacing w:before="0" w:after="283"/>
              <w:jc w:val="left"/>
              <w:rPr/>
            </w:pPr>
            <w:r>
              <w:rPr/>
              <w:t xml:space="preserve">Hagerty,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Shares of Class A Common Stock offered by us </w:t>
            </w:r>
          </w:p>
        </w:tc>
        <w:tc>
          <w:tcPr>
            <w:tcW w:w="6328" w:type="dxa"/>
            <w:tcBorders/>
          </w:tcPr>
          <w:p>
            <w:pPr>
              <w:pStyle w:val="TableContents"/>
              <w:bidi w:val="0"/>
              <w:spacing w:before="0" w:after="283"/>
              <w:jc w:val="left"/>
              <w:rPr/>
            </w:pPr>
            <w:r>
              <w:rPr/>
              <w:t xml:space="preserve">271,039,456 shares of Class A Common Stock issuable upon exercise of the Warrants and upon exchange of shares of Class V Common Stock and OpCo Units.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Shares of Class A Common Stock offered by the Selling Securityholders </w:t>
            </w:r>
          </w:p>
        </w:tc>
        <w:tc>
          <w:tcPr>
            <w:tcW w:w="6328" w:type="dxa"/>
            <w:tcBorders/>
          </w:tcPr>
          <w:p>
            <w:pPr>
              <w:pStyle w:val="TableContents"/>
              <w:bidi w:val="0"/>
              <w:spacing w:before="0" w:after="283"/>
              <w:jc w:val="left"/>
              <w:rPr/>
            </w:pPr>
            <w:r>
              <w:rPr/>
              <w:t xml:space="preserve">Up to 339,121,956 shares of Class A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Warrants Offered by the Selling Securityholders </w:t>
            </w:r>
          </w:p>
        </w:tc>
        <w:tc>
          <w:tcPr>
            <w:tcW w:w="6328" w:type="dxa"/>
            <w:tcBorders/>
          </w:tcPr>
          <w:p>
            <w:pPr>
              <w:pStyle w:val="TableContents"/>
              <w:bidi w:val="0"/>
              <w:spacing w:before="0" w:after="283"/>
              <w:jc w:val="left"/>
              <w:rPr/>
            </w:pPr>
            <w:r>
              <w:rPr/>
              <w:t xml:space="preserve">Up to 12,669,300 PIPE Warrants, up to 1,300,000 OTM Warrants, up to 257,500 Private Placement Warrants, and up to 28,750 Underwriter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Shares of Class A Common Stock Outstanding </w:t>
            </w:r>
          </w:p>
        </w:tc>
        <w:tc>
          <w:tcPr>
            <w:tcW w:w="6328" w:type="dxa"/>
            <w:tcBorders/>
          </w:tcPr>
          <w:p>
            <w:pPr>
              <w:pStyle w:val="TableContents"/>
              <w:bidi w:val="0"/>
              <w:spacing w:before="0" w:after="283"/>
              <w:jc w:val="left"/>
              <w:rPr/>
            </w:pPr>
            <w:r>
              <w:rPr/>
              <w:t xml:space="preserve">83,202,969 shares of Class A Common Stock (as of December 31, 2022). </w:t>
            </w:r>
          </w:p>
        </w:tc>
      </w:tr>
    </w:tbl>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Shares of Class V Common Stock Outstanding </w:t>
            </w:r>
          </w:p>
        </w:tc>
        <w:tc>
          <w:tcPr>
            <w:tcW w:w="6328" w:type="dxa"/>
            <w:tcBorders/>
          </w:tcPr>
          <w:p>
            <w:pPr>
              <w:pStyle w:val="TableContents"/>
              <w:bidi w:val="0"/>
              <w:spacing w:before="0" w:after="283"/>
              <w:jc w:val="left"/>
              <w:rPr/>
            </w:pPr>
            <w:r>
              <w:rPr/>
              <w:t xml:space="preserve">251,033,906 shares of Class V Common Stock (as of December 31, 2022).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Shares of Class A Common Stock outstanding assuming exercise of all Warrants and exchange of all shares of Class V Common Stock and OpCo Units on a one-for-one basis </w:t>
            </w:r>
          </w:p>
        </w:tc>
        <w:tc>
          <w:tcPr>
            <w:tcW w:w="6328" w:type="dxa"/>
            <w:tcBorders/>
          </w:tcPr>
          <w:p>
            <w:pPr>
              <w:pStyle w:val="TableContents"/>
              <w:bidi w:val="0"/>
              <w:spacing w:before="0" w:after="283"/>
              <w:jc w:val="left"/>
              <w:rPr/>
            </w:pPr>
            <w:r>
              <w:rPr/>
              <w:t xml:space="preserve">353,720,414 (based on total shares outstanding as of December 31, 2022).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We will not receive any proceeds from the sale of shares of Class A Common Stock or Warrants by the Selling Securityholders. We may receive proceeds equal to the aggregate exercise price paid from the exercise of any Warrants which are exercised for cash. We expect to use any net proceeds from the exercise of the Warrants for general corporate purposes, which may include temporary or permanent repayment of our outstanding indebtedness. See “</w:t>
            </w:r>
            <w:r>
              <w:rPr>
                <w:i/>
              </w:rPr>
              <w:t>Use of Proceeds</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Redemption </w:t>
            </w:r>
          </w:p>
        </w:tc>
        <w:tc>
          <w:tcPr>
            <w:tcW w:w="6327" w:type="dxa"/>
            <w:tcBorders/>
          </w:tcPr>
          <w:p>
            <w:pPr>
              <w:pStyle w:val="TableContents"/>
              <w:bidi w:val="0"/>
              <w:spacing w:before="0" w:after="283"/>
              <w:jc w:val="left"/>
              <w:rPr/>
            </w:pPr>
            <w:r>
              <w:rPr/>
              <w:t>The Warrants are redeemable in certain circumstances. See “</w:t>
            </w:r>
            <w:r>
              <w:rPr>
                <w:i/>
              </w:rPr>
              <w:t>Description of Securities-Warrants</w:t>
            </w:r>
            <w:r>
              <w:rPr/>
              <w:t xml:space="preserve">” for further discussion.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Market for Common Stock and Warrants </w:t>
            </w:r>
          </w:p>
        </w:tc>
        <w:tc>
          <w:tcPr>
            <w:tcW w:w="6328" w:type="dxa"/>
            <w:tcBorders/>
          </w:tcPr>
          <w:p>
            <w:pPr>
              <w:pStyle w:val="TableContents"/>
              <w:bidi w:val="0"/>
              <w:spacing w:before="0" w:after="283"/>
              <w:jc w:val="left"/>
              <w:rPr/>
            </w:pPr>
            <w:r>
              <w:rPr/>
              <w:t xml:space="preserve">Our Class A Common Stock and Public Warrants are currently traded on the NYSE under the symbols “HGTY” and “HGTY.WT,” respectively.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6" w:type="dxa"/>
            <w:tcBorders/>
          </w:tcPr>
          <w:p>
            <w:pPr>
              <w:pStyle w:val="TableContents"/>
              <w:bidi w:val="0"/>
              <w:spacing w:before="0" w:after="283"/>
              <w:jc w:val="left"/>
              <w:rPr/>
            </w:pPr>
            <w:r>
              <w:rPr/>
              <w:t>See “</w:t>
            </w:r>
            <w:r>
              <w:rPr>
                <w:i/>
              </w:rPr>
              <w:t>Risk Factors</w:t>
            </w:r>
            <w:r>
              <w:rPr/>
              <w:t xml:space="preserve">” and other information included in this prospectus for a discussion of factors you should consider before investing in our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rom111580_5"/>
      <w:bookmarkEnd w:id="20"/>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Investment in any securities offered pursuant to this prospectus and any applicable prospectus supplement involves risks.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any applicable prospectus supplement and any applicable free writing prospectus before acquiring any of such securities. See “</w:t>
      </w:r>
      <w:r>
        <w:rPr>
          <w:rFonts w:ascii="Times New Roman" w:hAnsi="Times New Roman"/>
          <w:i/>
          <w:sz w:val="20"/>
        </w:rPr>
        <w:t>Where You Can Find More Information; Incorporation by Reference</w:t>
      </w:r>
      <w:r>
        <w:rPr>
          <w:rFonts w:ascii="Times New Roman" w:hAnsi="Times New Roman"/>
          <w:sz w:val="20"/>
        </w:rPr>
        <w:t xml:space="preserve">.” The risks and uncertainties described in the documents we incorporate by reference are not the only ones we face. Additional risks and uncertainties not presently known to us or that we currently deem immaterial may also impair our business operations. If any of these risks or uncertainties actually occur, they could materially and adversely affect our business, financial condition, results of operations, cash flows or prospects, which in turn could materially and adversely affect the price of our Class A Common Stock and might cause you to lose all or part of your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rom111580_6"/>
      <w:bookmarkEnd w:id="21"/>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sale of shares of Class A Common Stock or Warrants by the Selling Securityholders. We may receive proceeds equal to the aggregate exercise price paid from the exercise of any Warrants which are exercised for cash. We expect to use the net proceeds from the exercise of the Warrants for general corporate purposes, which may include temporary or permanent repayment of our outstanding indebtedness. </w:t>
      </w:r>
    </w:p>
    <w:p>
      <w:pPr>
        <w:pStyle w:val="TextBody"/>
        <w:bidi w:val="0"/>
        <w:spacing w:before="240" w:after="0"/>
        <w:jc w:val="left"/>
        <w:rPr>
          <w:rFonts w:ascii="Times New Roman" w:hAnsi="Times New Roman"/>
          <w:sz w:val="20"/>
        </w:rPr>
      </w:pPr>
      <w:r>
        <w:rPr>
          <w:rFonts w:ascii="Times New Roman" w:hAnsi="Times New Roman"/>
          <w:sz w:val="20"/>
        </w:rPr>
        <w:t>The Selling Securityholders will pay any underwriting fees, discounts and selling commissions incurred in disposing of their Class A Common Stock. Pursuant to an Amended and Restated Registration Rights Agreement entered into by us and certain of our stockholders dated as of August 17, 2021 (the “</w:t>
      </w:r>
      <w:r>
        <w:rPr>
          <w:rFonts w:ascii="Times New Roman" w:hAnsi="Times New Roman"/>
          <w:b/>
          <w:i/>
          <w:sz w:val="20"/>
        </w:rPr>
        <w:t>Registration Rights Agreement</w:t>
      </w:r>
      <w:r>
        <w:rPr>
          <w:rFonts w:ascii="Times New Roman" w:hAnsi="Times New Roman"/>
          <w:sz w:val="20"/>
        </w:rPr>
        <w:t xml:space="preserve">”), we will bear all other costs, fees and expenses incurred in effecting the registration of the Class A Common Stock and Warrants covered by this prospectus, including, without limitation, all registration and filing fees, NYSE listing fees and fees and expenses of counsel and independent registered public accountants.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rom111580_7"/>
      <w:bookmarkEnd w:id="22"/>
      <w:r>
        <w:rPr>
          <w:rFonts w:ascii="Times New Roman" w:hAnsi="Times New Roman"/>
          <w:b/>
          <w:sz w:val="20"/>
        </w:rPr>
        <w:t xml:space="preserve">DESCRIPTION OF SECURITIES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summary is not intended to be a complete summary of the rights and preferences of such securities and is qualified by reference to the Amended and Restated Charter. We urge you to read the Amended and Restated Charter in its entirety for a complete description of the rights and preferences of our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and Outstanding Stock </w:t>
      </w:r>
    </w:p>
    <w:p>
      <w:pPr>
        <w:pStyle w:val="TextBody"/>
        <w:bidi w:val="0"/>
        <w:spacing w:before="120" w:after="0"/>
        <w:jc w:val="left"/>
        <w:rPr>
          <w:rFonts w:ascii="Times New Roman" w:hAnsi="Times New Roman"/>
          <w:sz w:val="20"/>
        </w:rPr>
      </w:pPr>
      <w:r>
        <w:rPr>
          <w:rFonts w:ascii="Times New Roman" w:hAnsi="Times New Roman"/>
          <w:sz w:val="20"/>
        </w:rPr>
        <w:t xml:space="preserve">The Amended and Restated Charter provides that the total number of authorized shares of all classes of capital stock is 820,000,000 shares, consisting of the below described classes, including 500,000,000 shares of Class A Common Stock, par value $0.0001 per share, 300,000,000 shares of Class V Common Stock, par value $0.0001 per share and 20,000,000 shares of Preferred Stock, par value $0.0001 per share.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2022, there were 83,202,969 shares of Class A Common Stock, 251,033,906 shares of Class V Common Stock and no shares of Preferred Stock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Class A Common Stock are entitled to one vote for each such share. The holders of Class V Common Stock are entitled to 10 votes for each such share until the earlier of (1) the date on which such share of Class V Common Stock is transferred other than pursuant to a Qualified Transfer (as defined in the Amended and Restated Charter) or (2) the date that is 15 years from the effective date of the Amended and Restated Charter (December 2, 2036). The holders of shares of Common Stock do not have cumulative voting rights. </w:t>
      </w:r>
    </w:p>
    <w:p>
      <w:pPr>
        <w:pStyle w:val="TextBody"/>
        <w:bidi w:val="0"/>
        <w:spacing w:before="240" w:after="0"/>
        <w:jc w:val="left"/>
        <w:rPr>
          <w:rFonts w:ascii="Times New Roman" w:hAnsi="Times New Roman"/>
          <w:sz w:val="20"/>
        </w:rPr>
      </w:pPr>
      <w:r>
        <w:rPr>
          <w:rFonts w:ascii="Times New Roman" w:hAnsi="Times New Roman"/>
          <w:sz w:val="20"/>
        </w:rPr>
        <w:t>The holders of shares of Class A Common Stock are entitled to receive such dividends and other distributions as declared by the Board of Directors of the Company (the “</w:t>
      </w:r>
      <w:r>
        <w:rPr>
          <w:rFonts w:ascii="Times New Roman" w:hAnsi="Times New Roman"/>
          <w:b/>
          <w:i/>
          <w:sz w:val="20"/>
        </w:rPr>
        <w:t>Board</w:t>
      </w:r>
      <w:r>
        <w:rPr>
          <w:rFonts w:ascii="Times New Roman" w:hAnsi="Times New Roman"/>
          <w:sz w:val="20"/>
        </w:rPr>
        <w:t xml:space="preserve">”), equally on a per share basis. The holders of Class V Common Stock are not entitled to receive dividends. </w:t>
      </w:r>
    </w:p>
    <w:p>
      <w:pPr>
        <w:pStyle w:val="TextBody"/>
        <w:bidi w:val="0"/>
        <w:spacing w:before="240" w:after="0"/>
        <w:jc w:val="left"/>
        <w:rPr>
          <w:rFonts w:ascii="Times New Roman" w:hAnsi="Times New Roman"/>
          <w:sz w:val="20"/>
        </w:rPr>
      </w:pPr>
      <w:r>
        <w:rPr>
          <w:rFonts w:ascii="Times New Roman" w:hAnsi="Times New Roman"/>
          <w:sz w:val="20"/>
        </w:rPr>
        <w:t xml:space="preserve">No holder of shares of Common Stock (in its capacity as such and without limiting any contractual rights) is entitled to preemptive rights.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any voluntary or involuntary liquidation, dissolution or winding-up of the Company, after payment or provision for payment of the debts and other liabilities of the Company, and subject to the rights of the holders of shares of Preferred Stock in respect thereof, the holders of shares of Class A Common Stock will be entitled to receive all of the remaining assets of the Company available for distribution to its stockholders, ratably in proportion to the number of shares of Class A Common Stock held by them. The holders of shares of Class V Common Stock, as such, will not be entitled to receive any assets of the Company in the event of any voluntary or involuntary liquidation, dissolution or winding up of the affairs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of Shares </w:t>
      </w:r>
    </w:p>
    <w:p>
      <w:pPr>
        <w:pStyle w:val="TextBody"/>
        <w:bidi w:val="0"/>
        <w:spacing w:before="120" w:after="0"/>
        <w:jc w:val="left"/>
        <w:rPr>
          <w:rFonts w:ascii="Times New Roman" w:hAnsi="Times New Roman"/>
          <w:sz w:val="20"/>
        </w:rPr>
      </w:pPr>
      <w:r>
        <w:rPr>
          <w:rFonts w:ascii="Times New Roman" w:hAnsi="Times New Roman"/>
          <w:sz w:val="20"/>
        </w:rPr>
        <w:t>In connection with the Business Combination, we entered into an Exchange Agreement (the “</w:t>
      </w:r>
      <w:r>
        <w:rPr>
          <w:rFonts w:ascii="Times New Roman" w:hAnsi="Times New Roman"/>
          <w:b/>
          <w:i/>
          <w:sz w:val="20"/>
        </w:rPr>
        <w:t>SPAC Exchange Agreement</w:t>
      </w:r>
      <w:r>
        <w:rPr>
          <w:rFonts w:ascii="Times New Roman" w:hAnsi="Times New Roman"/>
          <w:sz w:val="20"/>
        </w:rPr>
        <w:t>”) with Markel Corporation (“</w:t>
      </w:r>
      <w:r>
        <w:rPr>
          <w:rFonts w:ascii="Times New Roman" w:hAnsi="Times New Roman"/>
          <w:b/>
          <w:i/>
          <w:sz w:val="20"/>
        </w:rPr>
        <w:t>Markel</w:t>
      </w:r>
      <w:r>
        <w:rPr>
          <w:rFonts w:ascii="Times New Roman" w:hAnsi="Times New Roman"/>
          <w:sz w:val="20"/>
        </w:rPr>
        <w:t>”), Hagerty Holding Corp. (“</w:t>
      </w:r>
      <w:r>
        <w:rPr>
          <w:rFonts w:ascii="Times New Roman" w:hAnsi="Times New Roman"/>
          <w:b/>
          <w:i/>
          <w:sz w:val="20"/>
        </w:rPr>
        <w:t>HHC</w:t>
      </w:r>
      <w:r>
        <w:rPr>
          <w:rFonts w:ascii="Times New Roman" w:hAnsi="Times New Roman"/>
          <w:sz w:val="20"/>
        </w:rPr>
        <w:t xml:space="preserve">”), and The Hagerty Group. Pursuant to the SPAC Exchange Agreement, Markel and HHC have the right from time to time, on the terms and conditions contained in the SPAC Exchange Agreement, to exchange a coupled interest of OpCo Units and shares of Class V Common Stock for shares of Class A Common Stock or, in the event that net cash proceeds are received from a new permanent equity offering and at our option, cash. </w:t>
      </w:r>
    </w:p>
    <w:p>
      <w:pPr>
        <w:pStyle w:val="TextBody"/>
        <w:bidi w:val="0"/>
        <w:spacing w:before="240" w:after="0"/>
        <w:jc w:val="left"/>
        <w:rPr>
          <w:rFonts w:ascii="Times New Roman" w:hAnsi="Times New Roman"/>
          <w:sz w:val="20"/>
        </w:rPr>
      </w:pPr>
      <w:r>
        <w:rPr>
          <w:rFonts w:ascii="Times New Roman" w:hAnsi="Times New Roman"/>
          <w:sz w:val="20"/>
        </w:rPr>
        <w:t>In connection with our acquisition of the remaining equity of the Broad Arrow Group, Inc. (“</w:t>
      </w:r>
      <w:r>
        <w:rPr>
          <w:rFonts w:ascii="Times New Roman" w:hAnsi="Times New Roman"/>
          <w:b/>
          <w:i/>
          <w:sz w:val="20"/>
        </w:rPr>
        <w:t>Broad Arrow</w:t>
      </w:r>
      <w:r>
        <w:rPr>
          <w:rFonts w:ascii="Times New Roman" w:hAnsi="Times New Roman"/>
          <w:sz w:val="20"/>
        </w:rPr>
        <w:t>”), we entered into (i) a Contribution and Exchange Agreement, dated August 9, 2022, with Broad Arrow (the “</w:t>
      </w:r>
      <w:r>
        <w:rPr>
          <w:rFonts w:ascii="Times New Roman" w:hAnsi="Times New Roman"/>
          <w:b/>
          <w:i/>
          <w:sz w:val="20"/>
        </w:rPr>
        <w:t>BAG Agreement</w:t>
      </w:r>
      <w:r>
        <w:rPr>
          <w:rFonts w:ascii="Times New Roman" w:hAnsi="Times New Roman"/>
          <w:sz w:val="20"/>
        </w:rPr>
        <w:t>”), pursuant to which, The Hagerty Group issued 4,724,560 OpCo Units (the “</w:t>
      </w:r>
      <w:r>
        <w:rPr>
          <w:rFonts w:ascii="Times New Roman" w:hAnsi="Times New Roman"/>
          <w:b/>
          <w:i/>
          <w:sz w:val="20"/>
        </w:rPr>
        <w:t>BAG Units</w:t>
      </w:r>
      <w:r>
        <w:rPr>
          <w:rFonts w:ascii="Times New Roman" w:hAnsi="Times New Roman"/>
          <w:sz w:val="20"/>
        </w:rPr>
        <w:t>”) to Broad Arrow’s U.S. stockholders and (ii) an Exchange Agreement dated August 9, 2022, by and among us, The Hagerty Group and Broad Arrow’s U.S. stockholders (the “</w:t>
      </w:r>
      <w:r>
        <w:rPr>
          <w:rFonts w:ascii="Times New Roman" w:hAnsi="Times New Roman"/>
          <w:b/>
          <w:i/>
          <w:sz w:val="20"/>
        </w:rPr>
        <w:t>BAG Exchange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which, the recipients of BAG Units under the BAG Agreement have the right to exchange their BAG Units for shares of our Class A Common Stock on a one-for-one basis, on the terms and conditions contained in the BAG Exchange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Amended and Restated Charter provides that shares of Preferred Stock may be issued from time to time in one or more series. The Board is authorized to fix the voting rights, if any, designations, powers, preferences, the relative, participating, optional or other special rights and any qualifications, limitations and restrictions, applicable to the shares of each series.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Public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whole warrant entitles the registered holder to purchase one share of our Class A Common Stock at a price of $11.50 per share, subject to adjustment as discussed below. Pursuant to the warrant agreement, a warrant holder may exercise its warrants only for a whole number of shares of Class A Common Stock. No fractional warrants will be issued upon separation of the units and only whole warrants will trade. </w:t>
      </w:r>
    </w:p>
    <w:p>
      <w:pPr>
        <w:pStyle w:val="TextBody"/>
        <w:bidi w:val="0"/>
        <w:spacing w:before="240" w:after="0"/>
        <w:jc w:val="left"/>
        <w:rPr>
          <w:rFonts w:ascii="Times New Roman" w:hAnsi="Times New Roman"/>
          <w:sz w:val="20"/>
        </w:rPr>
      </w:pPr>
      <w:r>
        <w:rPr>
          <w:rFonts w:ascii="Times New Roman" w:hAnsi="Times New Roman"/>
          <w:sz w:val="20"/>
        </w:rPr>
        <w:t xml:space="preserve">The Public Warrants will expire at 5:00 PM, New York City time, on December 2, 2026 or earlier upon redemption or liquidation. On the exercise of any warrant, the warrant exercise price will be paid directly to us.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redeem the warrants for cash unless an effective registration statement under the Securities Act covering the Class A Common Stock issuable upon exercise of the warrants is effective and a current prospectus relating to those shares of Class A Common Stock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If our shares of Class A Common Stock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 </w:t>
      </w:r>
    </w:p>
    <w:p>
      <w:pPr>
        <w:pStyle w:val="TextBody"/>
        <w:bidi w:val="0"/>
        <w:spacing w:before="240" w:after="0"/>
        <w:jc w:val="left"/>
        <w:rPr>
          <w:rFonts w:ascii="Times New Roman" w:hAnsi="Times New Roman"/>
          <w:sz w:val="20"/>
        </w:rPr>
      </w:pPr>
      <w:r>
        <w:rPr>
          <w:rFonts w:ascii="Times New Roman" w:hAnsi="Times New Roman"/>
          <w:sz w:val="20"/>
        </w:rPr>
        <w:t xml:space="preserve">If the closing price of our Class A Common Stock equals or exceeds $18.00 per share (as adjusted for stock splits, stock capitalizations, reorganizations, recapitalizations and the like and for certain issuances of Class A Common Stock and equity-linked securities for capital raising purposes in connection with the closing of the Business Combination as described elsewhere in this prospectus) for any 20 trading days within a 30-trading-day period ending on the third trading day prior to the date on which we send the notice of redemption to the warrant holders, we may redeem the outstanding warrants for cash upon a minimum of 30 days’ prior written notice of redemption, which we refer to as the 30-day redemption period, in whole and not in part, at a price of $0.01 per warrant; </w:t>
      </w:r>
    </w:p>
    <w:p>
      <w:pPr>
        <w:pStyle w:val="TextBody"/>
        <w:bidi w:val="0"/>
        <w:spacing w:before="240" w:after="0"/>
        <w:jc w:val="left"/>
        <w:rPr>
          <w:rFonts w:ascii="Times New Roman" w:hAnsi="Times New Roman"/>
          <w:sz w:val="20"/>
        </w:rPr>
      </w:pPr>
      <w:r>
        <w:rPr>
          <w:rFonts w:ascii="Times New Roman" w:hAnsi="Times New Roman"/>
          <w:sz w:val="20"/>
        </w:rPr>
        <w:t xml:space="preserve">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 however, such redemption may occur at a time when the redeemable warrants are “out-of-the-money,” in which case you would lose any potential embedded value from a subsequent increase in the value of our common stock had your warrants remained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the event we determine to redeem the public warrants, holders of redeemable warrants will be notified of such redemption as described in our warrant agreement. Specifically, in the event that we elect to redeem all of the redeemable warrants as described above, we will fix a date for the redemption (the “</w:t>
      </w:r>
      <w:r>
        <w:rPr>
          <w:rFonts w:ascii="Times New Roman" w:hAnsi="Times New Roman"/>
          <w:b/>
          <w:i/>
          <w:sz w:val="20"/>
        </w:rPr>
        <w:t>Redemption Date</w:t>
      </w:r>
      <w:r>
        <w:rPr>
          <w:rFonts w:ascii="Times New Roman" w:hAnsi="Times New Roman"/>
          <w:sz w:val="20"/>
        </w:rPr>
        <w:t xml:space="preserve">”). Notice of redemption will be mailed by first class mail, postage prepaid, by us not less than 30 days prior to the Redemption Date to the registered holders of the warrants to be redeemed at their last addresses as they appear on the registration books. Any notice mailed in the manner provided in the warrant agreement will be conclusively presumed to have been duly given whether or not the registered holder received such notice. In addition, beneficial owners of the redeemable warrants will be notified of such redemption via posting of the redemption notice to DTC. </w:t>
      </w:r>
    </w:p>
    <w:p>
      <w:pPr>
        <w:pStyle w:val="TextBody"/>
        <w:bidi w:val="0"/>
        <w:spacing w:before="240" w:after="0"/>
        <w:jc w:val="left"/>
        <w:rPr>
          <w:rFonts w:ascii="Times New Roman" w:hAnsi="Times New Roman"/>
          <w:sz w:val="20"/>
        </w:rPr>
      </w:pPr>
      <w:r>
        <w:rPr>
          <w:rFonts w:ascii="Times New Roman" w:hAnsi="Times New Roman"/>
          <w:sz w:val="20"/>
        </w:rPr>
        <w:t xml:space="preserve">If we call the warrants for redemption as described above, we will have the option to require all holders that wish to exercise warrants to do so on a “cashless basis.” In determining whether to require all holders to exercise their warrants on a “cashless basis,” we will consider, among other factors, our cash position, the number of warrants that are outstanding and the dilutive effect on our stockholders of issuing the maximum number of shares of Class A Common Stock issuable upon the exercise of our warrants.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excess of the “fair market value” of our Class A Common Stock over the exercise price of the warrants by (y) the fair market value. The “fair market value” will mean the average reported closing price of the Class A Common Stock for the 10 trading days ending on the third trading day prior to the date on which the notice of redemption is sent to the holders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If we take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w:t>
      </w:r>
    </w:p>
    <w:p>
      <w:pPr>
        <w:pStyle w:val="TextBody"/>
        <w:bidi w:val="0"/>
        <w:spacing w:before="240" w:after="0"/>
        <w:jc w:val="left"/>
        <w:rPr>
          <w:rFonts w:ascii="Times New Roman" w:hAnsi="Times New Roman"/>
          <w:sz w:val="20"/>
        </w:rPr>
      </w:pPr>
      <w:r>
        <w:rPr>
          <w:rFonts w:ascii="Times New Roman" w:hAnsi="Times New Roman"/>
          <w:sz w:val="20"/>
        </w:rPr>
        <w:t xml:space="preserve">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Class A Common Stock outstanding immediately after giving effect to such exercise. </w:t>
      </w:r>
    </w:p>
    <w:p>
      <w:pPr>
        <w:pStyle w:val="TextBody"/>
        <w:bidi w:val="0"/>
        <w:spacing w:before="240" w:after="0"/>
        <w:jc w:val="left"/>
        <w:rPr>
          <w:rFonts w:ascii="Times New Roman" w:hAnsi="Times New Roman"/>
          <w:sz w:val="20"/>
        </w:rPr>
      </w:pPr>
      <w:r>
        <w:rPr>
          <w:rFonts w:ascii="Times New Roman" w:hAnsi="Times New Roman"/>
          <w:sz w:val="20"/>
        </w:rPr>
        <w:t xml:space="preserve">If the number of outstanding shares of Class A Common Stock is increased by a share capitalization payable in shares of Class A Common Stock, or by a split-up of Class A Common Stock or other similar event, then, on the effective date of such share capitalization, split-up or similar event, the number of shares of Class A Common Stock issuable on exercise of each warrant will be increased in proportion to such increase in the outstanding shares of common stock. A rights offering to holders of Common Stock entitling holders to purchase Class A Common Stock at a price less than the fair market value will be deemed a share capitalization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multiplied by (ii) 1 minus the quotient of (x) the price per share of Class A Common Stock paid in such rights offering and divided by (y) the fair market value. For these purposes (i) if the rights offering is for securities convertible into or exercisable for shares of Class A Common Stock, in determining the price payable for Class A Common Stock, there will be taken into account any consideration received for such rights, as well as any additional amount payable upon exercise or conversion and (ii) fair market value means the volume weighted average price of shares of Class A Common Stock as reported during the 10 trading day period ending on the trading day prior to the first date on which the Class A Common Stock trades on the applicable exchange or in the applicable market, regular way, without the right to receive such rights.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we, at any time while the warrants are outstanding and unexpired, pay a dividend or make a distribution in cash, securities or other assets to the holders of Class A Common Stock on account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Class A Common Stock (or other securities into which the warrants are convertible), other than (a) as described above, (b) certain ordinary cash dividends, (c) to satisfy the redemption rights of the holders of Class A Common Stock in connection with a proposed initial business combination, or (d)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Class A Common Stock in respect of such event. </w:t>
      </w:r>
    </w:p>
    <w:p>
      <w:pPr>
        <w:pStyle w:val="TextBody"/>
        <w:bidi w:val="0"/>
        <w:spacing w:before="240" w:after="0"/>
        <w:jc w:val="left"/>
        <w:rPr>
          <w:rFonts w:ascii="Times New Roman" w:hAnsi="Times New Roman"/>
          <w:sz w:val="20"/>
        </w:rPr>
      </w:pPr>
      <w:r>
        <w:rPr>
          <w:rFonts w:ascii="Times New Roman" w:hAnsi="Times New Roman"/>
          <w:sz w:val="20"/>
        </w:rPr>
        <w:t xml:space="preserve">If the number of outstanding shares of Class A Common Stock is decreased by a consolidation, combination, reverse share split or reclassification of Class A Common Stock or other similar event, then, on the effective date of such consolidation, combination, reverse share split, reclassification or similar event, the number of shares of Class A Common Stock issuable on exercise of each warrant will be decreased in proportion to such decrease in outstanding share of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 </w:t>
      </w:r>
    </w:p>
    <w:p>
      <w:pPr>
        <w:pStyle w:val="TextBody"/>
        <w:bidi w:val="0"/>
        <w:spacing w:before="240" w:after="0"/>
        <w:jc w:val="left"/>
        <w:rPr>
          <w:rFonts w:ascii="Times New Roman" w:hAnsi="Times New Roman"/>
          <w:sz w:val="20"/>
        </w:rPr>
      </w:pPr>
      <w:r>
        <w:rPr>
          <w:rFonts w:ascii="Times New Roman" w:hAnsi="Times New Roman"/>
          <w:sz w:val="20"/>
        </w:rPr>
        <w:t xml:space="preserve">In case of any reclassification or reorganization of the outstanding Class A Common Stock (other than those described above or that solely affects the par value of such Class A Common Stock), or in the case of any merger or consolidation of us with or into another corporation (other than a consolidation or merger in which we are the continuing corporation and that does not result in any reclassification or reorganization of our outstanding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Common Stock in such a transaction is payable in the form of Class A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Private Placement Warrants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in this section, the Private Placement Warrants have terms and provisions that are identical to the Public Warrants. The Private Placement Warrants (including the Class A Common Stock issuable upon exercise of the Private Placement Warrants) became transferable, assignable or salable on April 12, 2022 (except, in certain limited exceptions) to our officers and directors and other persons or entities affiliated with the initial purchasers of the Private Placement Warrants) and they will not be redeemable by us so long as they are held by the initial purchasers or their permitted transferees. Each Private Placement Warrant became exercisable for one share of Class A Common Stock at a price of $11.50 per share, subject to adjustments, commencing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December 2, 2022, and subject to additional vesting requirements. The Private Placement Warrants may be exercised only for a whole number of shares of Class A Common Stock. The initial purchasers, or their permitted transferees, have the option to exercise the Private Placement Warrants on a cashless basis so long as they are held by the transferees of the Sponsor or any of its permitted transferees. If the Private Placement Warrants are held by holders other than the initial purchasers or their permitted transferees, the Private Placement Warrants will be redeemable by us for cash and exercisable by the holders on the same basis as the Public Warrants. The Private Placement Warrants expire on December 2, 2026. </w:t>
      </w:r>
    </w:p>
    <w:p>
      <w:pPr>
        <w:pStyle w:val="TextBody"/>
        <w:bidi w:val="0"/>
        <w:spacing w:before="240" w:after="0"/>
        <w:jc w:val="left"/>
        <w:rPr>
          <w:rFonts w:ascii="Times New Roman" w:hAnsi="Times New Roman"/>
          <w:sz w:val="20"/>
        </w:rPr>
      </w:pPr>
      <w:r>
        <w:rPr>
          <w:rFonts w:ascii="Times New Roman" w:hAnsi="Times New Roman"/>
          <w:sz w:val="20"/>
        </w:rPr>
        <w:t xml:space="preserve">If holders of the Private Placement Warrants elect to exercise the Private Placement Warrants on a cashless basis, they would pay the exercise price by surrendering his, her or its warrants for that number of shares of Class A Common Stock equal to the quotient obtained by dividing (x) the product of the number of shares of Class A Common Stock underlying the warrants, multiplied by the excess of the “fair market value” of our Class A Common Stock over the exercise price of the warrants by (y) the fair market value. The “fair market value” will mean the average closing price of the Class A Common Stock for the 10 trading days ending on the third trading day prior to the date on which the notice of warrant exercise is sent to the warrant agent.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OTM Warrants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in this section, the OTM Warrants have terms and provisions that are identical to the Public Warrants. Each OTM Warrant will be exercisable for one share of Class A Common Stock at a price of $15.00 per share, subject to adjustments, commencing on December 2, 2022, and subject to additional vesting requirements. The initial purchasers, or their permitted transferees, have the option to exercise the OTM Warrants on a cashless basis so long as they are held by the initial purchasers or any of their permitted transferees. If the OTM Warrants are held by holders other than the initial purchasers or their permitted transferees, the OTM Warrants will be redeemable by us for cash and exercisable by the holders on the same basis as the Public Warrants. The OTM Warrants expire on December 2, 2031. </w:t>
      </w:r>
    </w:p>
    <w:p>
      <w:pPr>
        <w:pStyle w:val="TextBody"/>
        <w:bidi w:val="0"/>
        <w:spacing w:before="240" w:after="0"/>
        <w:jc w:val="left"/>
        <w:rPr>
          <w:rFonts w:ascii="Times New Roman" w:hAnsi="Times New Roman"/>
          <w:sz w:val="20"/>
        </w:rPr>
      </w:pPr>
      <w:r>
        <w:rPr>
          <w:rFonts w:ascii="Times New Roman" w:hAnsi="Times New Roman"/>
          <w:sz w:val="20"/>
        </w:rPr>
        <w:t xml:space="preserve">If holders of the OTM Warrants elect to exercise the OTM Warrants on a cashless basis, they would pay the exercise price by surrendering his, her or its warrants for that number of shares of Class A Common Stock equal to the quotient obtained by dividing (x) the product of the number of shares of Class A Common Stock underlying the warrants, multiplied by the excess of the “fair market value” of our Class A Common Stock over the exercise price of the warrants by (y) the fair market value. The “fair market value” will mean the average closing price of the Class A Common Stock for the 10 trading days ending on the third trading day prior to the date on which the notice of warrant exercise is sent to the warrant agent.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Underwriter Warrants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in this section, the Underwriter Warrants have terms and provisions that are identical to the Public Warrants. Each Underwriter Warrant is exercisable for one share of Class A Common Stock at a price of $11.50 per share, subject to adjustments. The Underwriter Warrants may be exercised only for a whole number of shares of Class A Common Stock. The Underwriter Warrants are entitled to registration rights and for so long as they are held by the underwriters, will not be exercisable more than five years from April 8, 2021 in accordance with FINRA Rule 5110(g)(8)(A). The initial purchasers, or their permitted transferees, have the option to exercise the Underwriter Warrants on a cashless basis so long as they are held by the initial purchasers or any of their permitted transferees. If the Underwriter Warrants are held by holders other than the initial purchasers or their permitted transferees, the Underwriter Warrants will be redeemable by us for cash and exercisable by the holders on the same basis as the Public Warrants. The Underwriter Warrants expire on December 2, 2026. </w:t>
      </w:r>
    </w:p>
    <w:p>
      <w:pPr>
        <w:pStyle w:val="TextBody"/>
        <w:bidi w:val="0"/>
        <w:spacing w:before="240" w:after="0"/>
        <w:jc w:val="left"/>
        <w:rPr>
          <w:rFonts w:ascii="Times New Roman" w:hAnsi="Times New Roman"/>
          <w:sz w:val="20"/>
        </w:rPr>
      </w:pPr>
      <w:r>
        <w:rPr>
          <w:rFonts w:ascii="Times New Roman" w:hAnsi="Times New Roman"/>
          <w:sz w:val="20"/>
        </w:rPr>
        <w:t xml:space="preserve">If holders of the Underwriter Warrants elect to exercise the Underwriter Warrants on a cashless basis, they would pay the exercise price by surrendering his, her or its warrants for that number of shares of Class A Common Stock equal to the quotient obtained by dividing (x) the product of the number of shares of Class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Common Stock underlying the warrants, multiplied by the excess of the “fair market value” of our Class A Common Stock over the exercise price of the warrants by (y) the fair market value. The “fair market value” will mean the average closing price of the Class A Common Stock for the 10 trading days ending on the third trading day prior to the date on which the notice of warrant exercise is sent to the warrant agent.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PIPE Warrants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in this section, the PIPE Warrants have terms and provisions that are identical to the Public Warrants. Each PIPE Warrant is exercisable for one share of Class A Common Stock at a price of $11.50 per share, subject to adjustments, commencing on January 1, 2022. The PIPE Warrants may be exercised on a cashless basis. The PIPE Warrants expire on December 2, 2026. </w:t>
      </w:r>
    </w:p>
    <w:p>
      <w:pPr>
        <w:pStyle w:val="TextBody"/>
        <w:bidi w:val="0"/>
        <w:spacing w:before="240" w:after="0"/>
        <w:jc w:val="left"/>
        <w:rPr>
          <w:rFonts w:ascii="Times New Roman" w:hAnsi="Times New Roman"/>
          <w:sz w:val="20"/>
        </w:rPr>
      </w:pPr>
      <w:r>
        <w:rPr>
          <w:rFonts w:ascii="Times New Roman" w:hAnsi="Times New Roman"/>
          <w:sz w:val="20"/>
        </w:rPr>
        <w:t xml:space="preserve">If holders of the PIPE Warrants elect to exercise the PIPE Warrants on a cashless basis, they would pay the exercise price by surrendering his, her or its warrants for that number of shares of Class A Common Stock equal to the quotient obtained by dividing (x) the product of the number of shares of Class A Common Stock underlying the warrants, multiplied by the excess of the “fair market value” of our Class A Common Stock over the exercise price of the warrants by (y) the fair market value. The “fair market value” will mean the average closing price of the Class A Common Stock for the 10 trading days ending on the third trading day prior to the date on which the notice of warrant exercise is sent to the warrant agent.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Sponsor Warrant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completion of the Business Combination, the Sponsor and FGSP entered into the Sponsor Warrant Lock-Up Agreement with the Company, pursuant to which the Sponsor and FGSP agreed as described below with respect to (i) the Private Placement Warrants and (ii) the OTM Warrants held by them. Pursuant to the Sponsor Warrant Lock-Up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Private Placement Warrants are not exercisable until the date on which the volume weighted average trading price of the Class A Common Stock exceeds $15.00 per share (as adjusted for stock splits, stock dividends, reorganizations and recapitalizations) for any 20 trading days within any 30-trading day period commencing 12 months after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OTM Warrants are not exercisable until the date on which the volume weighted average trading price of the Class A Common Stock exceeds $18.00 per share (as adjusted for stock splits, stock dividends, reorganizations and recapitalizations) for any 20 trading days within any 30-trading day period commencing 12 months after the Business Combination;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being exercisable, the Sponsor may transfer the Private Placement Warrants and the OTM Warrants, subject to any requirements set forth in the purchase agreements related to the purchase of the Private Placement Warrants and OTM Warrants, provided that such transfers may be implemented only upon the respective transferee’s written agreement to be bound by the terms and conditions of the Sponsor Warrant Lock-up Agreement.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We have not paid any cash dividends on our common stock to date. The payment of cash dividends in the future will depend upon our revenues and earnings, if any, capital requirements and general financial condition. The payment of any future cash dividends will be within the discretion of the Board at such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Rule 144 </w:t>
      </w:r>
    </w:p>
    <w:p>
      <w:pPr>
        <w:pStyle w:val="TextBody"/>
        <w:bidi w:val="0"/>
        <w:spacing w:before="120" w:after="0"/>
        <w:jc w:val="left"/>
        <w:rPr>
          <w:rFonts w:ascii="Times New Roman" w:hAnsi="Times New Roman"/>
          <w:sz w:val="20"/>
        </w:rPr>
      </w:pPr>
      <w:r>
        <w:rPr>
          <w:rFonts w:ascii="Times New Roman" w:hAnsi="Times New Roman"/>
          <w:sz w:val="20"/>
        </w:rPr>
        <w:t xml:space="preserve">Pursuant to Rule 144, a person who has beneficially owned restricted shares of our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Persons who have beneficially owned restricted shares of our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of the total number of shares of common stock then-outstanding;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weekly reported trading volume of the common stock during the four calendar weeks preceding the filing of a notice on Form 144 with respect to the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Sales by our affiliates under Rule 144 are also limited by manner of sale provisions and notice requirements and to the availability of current public information about us.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We are party the Registration Rights Agreement, pursuant to which we granted to the Holders (as defined in the Registration Rights Agreement) certain registration rights, including customary piggyback registration rights and demand registration rights, which are subject to customary terms and conditions, including with respect to cooperation and reduction of underwritten shelf takedown provisions (subject to certain lock-up restrictions referenced therein). </w:t>
      </w:r>
    </w:p>
    <w:p>
      <w:pPr>
        <w:pStyle w:val="TextBody"/>
        <w:bidi w:val="0"/>
        <w:spacing w:before="240" w:after="0"/>
        <w:jc w:val="left"/>
        <w:rPr>
          <w:rFonts w:ascii="Times New Roman" w:hAnsi="Times New Roman"/>
          <w:sz w:val="20"/>
        </w:rPr>
      </w:pPr>
      <w:r>
        <w:rPr>
          <w:rFonts w:ascii="Times New Roman" w:hAnsi="Times New Roman"/>
          <w:sz w:val="20"/>
        </w:rPr>
        <w:t xml:space="preserve">The Holders and their permitted transferees are entitled to certain registration rights described in the Registration Rights Agreement. Among other things, pursuant to the Registration Rights Agreement, the Holders are entitled to participate in four demand registrations and will have certain “piggy-back” registration rights with respect to registration statements. We will bear the expenses incurred in connection with the filing of any such registration statements, other than certain underwriting discounts and selling commissions and expenses. We and the Holders have agreed in the Registration Rights Agreement to provide customary indemnification in connection with an offerings of securities effected pursuant to the terms of the Registration Rights Agreement. The registration statement of which this prospectus is a part has been filed pursuant to the Registration Rights Agreement, but does not constitute one of the demand registrations available to the Holders thereunder. </w:t>
      </w:r>
    </w:p>
    <w:p>
      <w:pPr>
        <w:pStyle w:val="TextBody"/>
        <w:bidi w:val="0"/>
        <w:spacing w:before="240" w:after="0"/>
        <w:jc w:val="left"/>
        <w:rPr>
          <w:rFonts w:ascii="Times New Roman" w:hAnsi="Times New Roman"/>
          <w:sz w:val="20"/>
        </w:rPr>
      </w:pPr>
      <w:r>
        <w:rPr>
          <w:rFonts w:ascii="Times New Roman" w:hAnsi="Times New Roman"/>
          <w:sz w:val="20"/>
        </w:rPr>
        <w:t xml:space="preserve">We additionally granted certain registration rights, including customary demand registration rights, which are subject to customary terms and conditions pursuant to the terms of the BAG Agreement to Broad Arrow’s stockholders with respect to the shares of Class A Common Stock underlying the BAG Units issued to Broad Arrow’s U.S. stockholders and shares of Class A Common Stock issued to Broad Arrow’s foreign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Delaware Law and The Amended and Restated Charter </w:t>
      </w:r>
    </w:p>
    <w:p>
      <w:pPr>
        <w:pStyle w:val="TextBody"/>
        <w:bidi w:val="0"/>
        <w:spacing w:before="120" w:after="0"/>
        <w:jc w:val="left"/>
        <w:rPr>
          <w:rFonts w:ascii="Times New Roman" w:hAnsi="Times New Roman"/>
          <w:sz w:val="20"/>
        </w:rPr>
      </w:pPr>
      <w:r>
        <w:rPr>
          <w:rFonts w:ascii="Times New Roman" w:hAnsi="Times New Roman"/>
          <w:sz w:val="20"/>
        </w:rPr>
        <w:t xml:space="preserve">Some provisions of Delaware law, the Amended and Restated Charter and the Amended and Restated Bylaws contain or will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 These provisions are in addition to the fact that we are a “controlled company” under NYSE listing rules, which effectively results in our controlling holders being able to determine whether control of our company should change.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Special meetings of stockholders may be called by the chairperson of the Board, the chief executive officer (or his or her designee) or the Board, and, until a Control Trigger Event (as defined in the Amended and Restated Bylaws) occurs, by stockholders holding a majority of the voting power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Advance Notification of Stockholder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include advance notice procedures with respect to stockholder proposals to be brought before a stockholder meeting and the nomination of candidates for election as directors, other than nominations made by or at the direction of the Board or a committee of the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The Amended and Restated Charter provides that any action required or permitted to be taken by the stockholders may be effected (i) at a duly called annual or special meeting of the stockholders or (ii) until a Control Trigger Event has occurred, by written consent in lieu of a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Directors may be removed (i) prior to a Control Trigger Event for any reason by the affirmative vote of the holders of at least a majority of the voting power of all then-outstanding shares of capital stock of the Company entitled to vote generally in the election of directors, voting together as a single class, and (ii) after a Control Trigger Event, by the stockholders of the Company only for cause and only by the affirmative vote of the holders of at least a majority of the voting power of all then-outstanding shares of capital stock of the Company entitled to vote generally in the election of directors, voting together as a single class.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Stockholders Not Entitled to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The Amended and Restated Charter does not permit stockholders to cumulate their votes in the election of directors. Accordingly, the holders of a majority of the outstanding shares of common stock entitled to vote in any election of directors can elect all of the directors standing for election, if they choose, other than any directors that holders of our preferred stock may be entitled to elect.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The Court of Chancery of the State of Delaware is the sole and exclusive forum for any stockholder to bring (i) any derivative action or proceeding brought on behalf of us under Delaware law; (ii) any action asserting a claim of breach of a fiduciary duty owed by any current or former director, officer or other employee to us or our stockholders; (iii) any action asserting a claim against us, our directors, officers or other employees arising under the DGCL, our Amended and Restated Charter or the Bylaws (in each case, as may be amended from time to time); (iv) any action asserting a claim against us or any of our directors, officers or other employees governed by the internal affairs doctrine of the State of Delaware or (v) any other action asserting an “internal corporate claim,” as defined in Section 115 of the DGCL, in all cases subject to the court having personal jurisdiction over all indispensable parties named as defendants. Unless a majority of the Board, acting on behalf of Hagerty, consents in writing to the selection of an alternative forum (which consent may be given at any time, including during the pendency of litigation), the federal district courts of the United States of America, to the fullest extent permitted by law, is the sole and exclusive forum for the resolution of any action asserting a cause of action arising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Amendment of Charter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Amended and Restated Charter requires an affirmative vote of holders of the majority of the voting power of the outstanding shares of capital stock for the amendment, alteration, change or repeal of any provision in the charter; provided, however, that upon a Control Trigger Event the affirmative vote of the holders of at least 75% of the voting power of all then-outstanding shares of capital stock entitled to vote generally in the election of directors, voting together as a single class, shall be required to amend, alter, repeal or adopt any provision of the Certificate of Incorporation inconsistent with the purpose and intent of Article V, Article VI, Article VII or Article IX (including, without limitation, any such Article as renumbered as a result of any amendment, alternation, repeal or adoption of any other Article).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rom111580_8"/>
      <w:bookmarkEnd w:id="23"/>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listed in the table below may from time to time offer and sell any or all of the shares of Class A Common Stock or Warrants set forth below pursuant to this prospectus. When we refer to the “Selling Securityholders” in this prospectus, we refer to the persons listed in the table below, and the pledgees, donees, transferees, assignees, successors and other permitted transferees that hold any of the Selling Securityholders’ interest in the shares of Class A Common Stock or Warrants after the date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Our registration of the shares of Class A Common Stock and Warrants does not necessarily mean that the Selling Securityholders will sell all or any of such securities. In particular, the Selling Securityholders identified below may have sold, transferred or otherwise disposed of all or a portion of their securities after the date on which they provided us with information regarding their securities. Any changed or new information given to us by the Selling Securityholders, including regarding the identity of, and the securities held by, each Selling Securityholder, will be set forth in a prospectus supplement or amendments to the registration statement of which this prospectus is a part, if and when necessary.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the securities for resale pursuant to the Selling Securityholders’ registration rights under agreements between us and the Selling Securityholders, described elsewhere in this prospectus. These agreements obligate us to file one or more registration statements to register the resales of securities by the Selling Securityholders. Other than as described below or elsewhere in this prospectus, none of the selling securityholders has any material relationship with us or any of our predecessors or affiliates.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provided by or on behalf of the Selling Securityholders as of December 13, 2021, concerning the Class A Common Stock and Warrants that may be offered from time to time by each Selling Securityholder with this prospectus. The securities beneficially owned after the offering assumes that each Selling Securityholder will have sold all securities offered hereby. A Selling Securityholder may sell all, some or none of such securities in this offering. See “Plan of Distribution.” </w:t>
      </w:r>
    </w:p>
    <w:p>
      <w:pPr>
        <w:pStyle w:val="TextBody"/>
        <w:bidi w:val="0"/>
        <w:spacing w:before="0" w:after="0"/>
        <w:jc w:val="left"/>
        <w:rPr/>
      </w:pPr>
      <w:r>
        <w:rPr/>
        <w:t> </w:t>
      </w:r>
    </w:p>
    <w:tbl>
      <w:tblPr>
        <w:tblW w:w="10980" w:type="dxa"/>
        <w:jc w:val="center"/>
        <w:tblInd w:w="0" w:type="dxa"/>
        <w:tblLayout w:type="fixed"/>
        <w:tblCellMar>
          <w:top w:w="0" w:type="dxa"/>
          <w:left w:w="0" w:type="dxa"/>
          <w:bottom w:w="0" w:type="dxa"/>
          <w:right w:w="0" w:type="dxa"/>
        </w:tblCellMar>
      </w:tblPr>
      <w:tblGrid>
        <w:gridCol w:w="1235"/>
        <w:gridCol w:w="60"/>
        <w:gridCol w:w="60"/>
        <w:gridCol w:w="1100"/>
        <w:gridCol w:w="60"/>
        <w:gridCol w:w="60"/>
        <w:gridCol w:w="62"/>
        <w:gridCol w:w="1023"/>
        <w:gridCol w:w="60"/>
        <w:gridCol w:w="60"/>
        <w:gridCol w:w="60"/>
        <w:gridCol w:w="1100"/>
        <w:gridCol w:w="60"/>
        <w:gridCol w:w="60"/>
        <w:gridCol w:w="60"/>
        <w:gridCol w:w="980"/>
        <w:gridCol w:w="60"/>
        <w:gridCol w:w="60"/>
        <w:gridCol w:w="60"/>
        <w:gridCol w:w="980"/>
        <w:gridCol w:w="60"/>
        <w:gridCol w:w="60"/>
        <w:gridCol w:w="156"/>
        <w:gridCol w:w="989"/>
        <w:gridCol w:w="60"/>
        <w:gridCol w:w="60"/>
        <w:gridCol w:w="137"/>
        <w:gridCol w:w="873"/>
        <w:gridCol w:w="60"/>
        <w:gridCol w:w="60"/>
        <w:gridCol w:w="156"/>
        <w:gridCol w:w="989"/>
        <w:gridCol w:w="60"/>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Before the 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Offered Hereby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After the Offering</w:t>
            </w:r>
          </w:p>
        </w:tc>
        <w:tc>
          <w:tcPr>
            <w:tcW w:w="60" w:type="dxa"/>
            <w:tcBorders/>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b/>
              </w:rPr>
            </w:pPr>
            <w:r>
              <w:rPr>
                <w:b/>
              </w:rPr>
              <w:t>Name of the Selling Security holder</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pPr>
            <w:r>
              <w:rPr>
                <w:b/>
              </w:rPr>
              <w:t>Class A</w:t>
              <w:br/>
              <w:t>Common</w:t>
            </w:r>
            <w:r>
              <w:rPr/>
              <w:br/>
            </w:r>
            <w:r>
              <w:rPr>
                <w:b/>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pPr>
            <w:r>
              <w:rPr>
                <w:b/>
              </w:rPr>
              <w:t>Class A</w:t>
              <w:br/>
              <w:t>Common</w:t>
            </w:r>
            <w:r>
              <w:rPr/>
              <w:br/>
            </w:r>
            <w:r>
              <w:rPr>
                <w:b/>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pPr>
            <w:r>
              <w:rPr>
                <w:b/>
              </w:rPr>
              <w:t>Class A</w:t>
              <w:br/>
              <w:t>Common</w:t>
            </w:r>
            <w:r>
              <w:rPr/>
              <w:br/>
            </w:r>
            <w:r>
              <w:rPr>
                <w:b/>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60"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PIPE Investors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8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16"/>
              </w:rPr>
            </w:pPr>
            <w:r>
              <w:rPr>
                <w:rFonts w:ascii="Times New Roman" w:hAnsi="Times New Roman"/>
                <w:sz w:val="16"/>
              </w:rPr>
              <w:t>State Farm Mutual Automobile Insurance Company(2)(3)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59,000,000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9,000,000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59,000,000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Markel Corporation(3)(4)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78,540,000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540,000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78,540,000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540,000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16"/>
              </w:rPr>
            </w:pPr>
            <w:r>
              <w:rPr>
                <w:rFonts w:ascii="Times New Roman" w:hAnsi="Times New Roman"/>
                <w:sz w:val="16"/>
              </w:rPr>
              <w:t>Wasatch Ultra Growth Fund (CRONUS &amp; CO. f/b/o Wasatch Ultra Growth Fund)(5)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2,950,000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450,000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2,950,000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450,000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Wasatch Core Growth Fund (CONE &amp; CO. f/b/o Wasatch Core Growth Fund)(6)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3,540,000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540,000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3,540,000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540,000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16"/>
              </w:rPr>
            </w:pPr>
            <w:r>
              <w:rPr>
                <w:rFonts w:ascii="Times New Roman" w:hAnsi="Times New Roman"/>
                <w:sz w:val="16"/>
              </w:rPr>
              <w:t>T. Rowe Price Small-Cap Value Fund, Inc.(7)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1,686,560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257,272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1,686,560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257,272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 Rowe Price U.S. Small-Cap Value Equity Trust(8)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625,157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95,363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625,157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95,363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16"/>
              </w:rPr>
            </w:pPr>
            <w:r>
              <w:rPr>
                <w:rFonts w:ascii="Times New Roman" w:hAnsi="Times New Roman"/>
                <w:sz w:val="16"/>
              </w:rPr>
              <w:t>T. Rowe Price U.S. Equities Trust(9)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28,351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4,325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28,351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4,325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MassMutual Select Funds - MassMutual Select T. Rowe Price Small and Mid Cap Blend Fund(10)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19,932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3,040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19,932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3,040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16"/>
              </w:rPr>
            </w:pPr>
            <w:r>
              <w:rPr>
                <w:rFonts w:ascii="Times New Roman" w:hAnsi="Times New Roman"/>
                <w:sz w:val="16"/>
              </w:rPr>
              <w:t>Financial Opportunity Fund LLC(11)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354,000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54,000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354,000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54,000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Aldel LLC(12)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4,610,000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360,000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2,360,000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360,000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2,250,000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16"/>
              </w:rPr>
            </w:pPr>
            <w:r>
              <w:rPr>
                <w:rFonts w:ascii="Times New Roman" w:hAnsi="Times New Roman"/>
                <w:sz w:val="16"/>
              </w:rPr>
              <w:t>Jonathan Ashley(13)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147,500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22,500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147,500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22,500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1270" w:type="dxa"/>
        <w:jc w:val="center"/>
        <w:tblInd w:w="0" w:type="dxa"/>
        <w:tblLayout w:type="fixed"/>
        <w:tblCellMar>
          <w:top w:w="0" w:type="dxa"/>
          <w:left w:w="0" w:type="dxa"/>
          <w:bottom w:w="0" w:type="dxa"/>
          <w:right w:w="0" w:type="dxa"/>
        </w:tblCellMar>
      </w:tblPr>
      <w:tblGrid>
        <w:gridCol w:w="1145"/>
        <w:gridCol w:w="60"/>
        <w:gridCol w:w="60"/>
        <w:gridCol w:w="1220"/>
        <w:gridCol w:w="60"/>
        <w:gridCol w:w="60"/>
        <w:gridCol w:w="62"/>
        <w:gridCol w:w="1023"/>
        <w:gridCol w:w="60"/>
        <w:gridCol w:w="60"/>
        <w:gridCol w:w="60"/>
        <w:gridCol w:w="1220"/>
        <w:gridCol w:w="60"/>
        <w:gridCol w:w="60"/>
        <w:gridCol w:w="70"/>
        <w:gridCol w:w="940"/>
        <w:gridCol w:w="60"/>
        <w:gridCol w:w="60"/>
        <w:gridCol w:w="60"/>
        <w:gridCol w:w="980"/>
        <w:gridCol w:w="200"/>
        <w:gridCol w:w="60"/>
        <w:gridCol w:w="156"/>
        <w:gridCol w:w="989"/>
        <w:gridCol w:w="60"/>
        <w:gridCol w:w="60"/>
        <w:gridCol w:w="60"/>
        <w:gridCol w:w="980"/>
        <w:gridCol w:w="60"/>
        <w:gridCol w:w="60"/>
        <w:gridCol w:w="156"/>
        <w:gridCol w:w="989"/>
        <w:gridCol w:w="60"/>
      </w:tblGrid>
      <w:tr>
        <w:trPr/>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Before the 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Offered Hereby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After the Offering</w:t>
            </w:r>
          </w:p>
        </w:tc>
        <w:tc>
          <w:tcPr>
            <w:tcW w:w="60" w:type="dxa"/>
            <w:tcBorders/>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283"/>
              <w:jc w:val="left"/>
              <w:rPr>
                <w:b/>
              </w:rPr>
            </w:pPr>
            <w:r>
              <w:rPr>
                <w:b/>
              </w:rPr>
              <w:t>Name of the Selling Security holder</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b/>
              </w:rPr>
              <w:t>Class A</w:t>
              <w:br/>
              <w:t>Common</w:t>
            </w:r>
            <w:r>
              <w:rPr/>
              <w:br/>
            </w:r>
            <w:r>
              <w:rPr>
                <w:b/>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b/>
              </w:rPr>
              <w:t>Class A</w:t>
              <w:br/>
              <w:t>Common</w:t>
            </w:r>
            <w:r>
              <w:rPr/>
              <w:br/>
            </w:r>
            <w:r>
              <w:rPr>
                <w:b/>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pPr>
            <w:r>
              <w:rPr>
                <w:b/>
              </w:rPr>
              <w:t>Class A</w:t>
              <w:br/>
              <w:t>Common</w:t>
            </w:r>
            <w:r>
              <w:rPr/>
              <w:br/>
            </w:r>
            <w:r>
              <w:rPr>
                <w:b/>
              </w:rPr>
              <w:t>Stock</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James Blakemore and Grace Hackmeier(14)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18,000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16"/>
              </w:rPr>
            </w:pPr>
            <w:r>
              <w:rPr>
                <w:rFonts w:ascii="Times New Roman" w:hAnsi="Times New Roman"/>
                <w:sz w:val="16"/>
              </w:rPr>
              <w:t>Lawrence A. Bowman Exempt Descendants’ Trust(15)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18,000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Lawrence A. Bowman Revocable Trust (16)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18,000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16"/>
              </w:rPr>
            </w:pPr>
            <w:r>
              <w:rPr>
                <w:rFonts w:ascii="Times New Roman" w:hAnsi="Times New Roman"/>
                <w:sz w:val="16"/>
              </w:rPr>
              <w:t>Zak Brown(17)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William E. Connor II Living Trust(18)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236,000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36,000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236,000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36,000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16"/>
              </w:rPr>
            </w:pPr>
            <w:r>
              <w:rPr>
                <w:rFonts w:ascii="Times New Roman" w:hAnsi="Times New Roman"/>
                <w:sz w:val="16"/>
              </w:rPr>
              <w:t>Feiber-Buhr Family Trust(19)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18,000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18,000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LMH Family Insurance Partnership(20)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1,180,000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180,000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1,180,000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180,000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16"/>
              </w:rPr>
            </w:pPr>
            <w:r>
              <w:rPr>
                <w:rFonts w:ascii="Times New Roman" w:hAnsi="Times New Roman"/>
                <w:sz w:val="16"/>
              </w:rPr>
              <w:t>Irvin R. Kessler(21)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236,000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36,000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236,000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36,000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Apex Foundation(22)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354,000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54,000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354,000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54,000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16"/>
              </w:rPr>
            </w:pPr>
            <w:r>
              <w:rPr>
                <w:rFonts w:ascii="Times New Roman" w:hAnsi="Times New Roman"/>
                <w:sz w:val="16"/>
              </w:rPr>
              <w:t>Ryan R Porter(23)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PC Investments LLC(24)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354,000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54,000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354,000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54,000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16"/>
              </w:rPr>
            </w:pPr>
            <w:r>
              <w:rPr>
                <w:rFonts w:ascii="Times New Roman" w:hAnsi="Times New Roman"/>
                <w:sz w:val="16"/>
              </w:rPr>
              <w:t>RRRR Investments LLC(25)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236,000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36,000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236,000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36,000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Craig McWilliam(26)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16"/>
              </w:rPr>
            </w:pPr>
            <w:r>
              <w:rPr>
                <w:rFonts w:ascii="Times New Roman" w:hAnsi="Times New Roman"/>
                <w:sz w:val="16"/>
              </w:rPr>
              <w:t>Moglia Family Foundation(27)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47,200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7,200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47,200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7,200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Moglia Capital LLC(28)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47,200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7,200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47,200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7,200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16"/>
              </w:rPr>
            </w:pPr>
            <w:r>
              <w:rPr>
                <w:rFonts w:ascii="Times New Roman" w:hAnsi="Times New Roman"/>
                <w:sz w:val="16"/>
              </w:rPr>
              <w:t>Moglia Trust 2(29)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23,600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3,600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23,600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3,600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Charles Eugene Nearburg(30)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642,500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45,000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320,000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45,000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322,500</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16"/>
              </w:rPr>
            </w:pPr>
            <w:r>
              <w:rPr>
                <w:rFonts w:ascii="Times New Roman" w:hAnsi="Times New Roman"/>
                <w:sz w:val="16"/>
              </w:rPr>
              <w:t>O’Neill Trust, Dated April 10, 1996(31)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Andrew Pisker(32)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18,000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16"/>
              </w:rPr>
            </w:pPr>
            <w:r>
              <w:rPr>
                <w:rFonts w:ascii="Times New Roman" w:hAnsi="Times New Roman"/>
                <w:sz w:val="16"/>
              </w:rPr>
              <w:t>Trousdale Sarosphere, LLC(33)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826,000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126,000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826,000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126,000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ESS Investments Two LLC(34)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129,800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19,800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129,800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19,800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16"/>
              </w:rPr>
            </w:pPr>
            <w:r>
              <w:rPr>
                <w:rFonts w:ascii="Times New Roman" w:hAnsi="Times New Roman"/>
                <w:sz w:val="16"/>
              </w:rPr>
              <w:t>Project GTO LLC(35)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2,360,000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360,000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2,360,000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360,000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William and Cheryl Swanson Revocable Trust UTD</w:t>
              <w:br/>
              <w:t>9/28/2000(36)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472,000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72,000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472,000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72,000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16"/>
              </w:rPr>
            </w:pPr>
            <w:r>
              <w:rPr>
                <w:rFonts w:ascii="Times New Roman" w:hAnsi="Times New Roman"/>
                <w:sz w:val="16"/>
              </w:rPr>
              <w:t>Lake Avenue Investments, LLC(37)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2,680,000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180,000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1,180,000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180,000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1,500,000</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20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Directors and Executive Officers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9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18"/>
              </w:rPr>
            </w:pPr>
            <w:r>
              <w:rPr>
                <w:rFonts w:ascii="Times New Roman" w:hAnsi="Times New Roman"/>
                <w:sz w:val="18"/>
              </w:rPr>
              <w:t>Robert I. Kauffman(38)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8,257,500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1,267,500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8,232,500</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1,267,500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William H. Swanson(39)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472,000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72,000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472,000</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20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b/>
                <w:sz w:val="16"/>
              </w:rPr>
            </w:pPr>
            <w:r>
              <w:rPr>
                <w:rFonts w:ascii="Times New Roman" w:hAnsi="Times New Roman"/>
                <w:b/>
                <w:sz w:val="16"/>
              </w:rPr>
              <w:t>Sponsor Investors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0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9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FG SPAC Partners LP.(40)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650,000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650,000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16"/>
              </w:rPr>
            </w:pPr>
            <w:r>
              <w:rPr>
                <w:rFonts w:ascii="Times New Roman" w:hAnsi="Times New Roman"/>
                <w:sz w:val="16"/>
              </w:rPr>
              <w:t>Aldel Investors LLC(41)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3,622,500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907,500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3,622,500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907,500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205"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Other Selling Securityholders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0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9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16"/>
              </w:rPr>
            </w:pPr>
            <w:r>
              <w:rPr>
                <w:rFonts w:ascii="Times New Roman" w:hAnsi="Times New Roman"/>
                <w:sz w:val="16"/>
              </w:rPr>
              <w:t>Hagerty Holding Corp.(3)(42)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176,033,906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176,033,906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Other Selling Stockholders(43)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602,750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28,750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211,250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28,750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391,500</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Reflects ownership of the underlying shares without regard to any contractual obligations that limit exercisability.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50,000,000 shares of Class A Common Stock purchased in the PIPE Financing and 9,000,000 of PIPE Warrants. State Farm’s principal business address is One State Farm Plaza, Bloomington, IL 61710.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The Company, Hagerty Holding Corp., a close corporation under Delaware law (“</w:t>
            </w:r>
            <w:r>
              <w:rPr>
                <w:rFonts w:ascii="Times New Roman" w:hAnsi="Times New Roman"/>
                <w:b/>
                <w:i/>
                <w:sz w:val="16"/>
              </w:rPr>
              <w:t>HHC</w:t>
            </w:r>
            <w:r>
              <w:rPr>
                <w:rFonts w:ascii="Times New Roman" w:hAnsi="Times New Roman"/>
                <w:sz w:val="16"/>
              </w:rPr>
              <w:t>”), Markel Corporation (“</w:t>
            </w:r>
            <w:r>
              <w:rPr>
                <w:rFonts w:ascii="Times New Roman" w:hAnsi="Times New Roman"/>
                <w:b/>
                <w:i/>
                <w:sz w:val="16"/>
              </w:rPr>
              <w:t>Markel</w:t>
            </w:r>
            <w:r>
              <w:rPr>
                <w:rFonts w:ascii="Times New Roman" w:hAnsi="Times New Roman"/>
                <w:sz w:val="16"/>
              </w:rPr>
              <w:t>”) and State Farm Mutual Automobile Insurance Company (“</w:t>
            </w:r>
            <w:r>
              <w:rPr>
                <w:rFonts w:ascii="Times New Roman" w:hAnsi="Times New Roman"/>
                <w:b/>
                <w:i/>
                <w:sz w:val="16"/>
              </w:rPr>
              <w:t>State Farm</w:t>
            </w:r>
            <w:r>
              <w:rPr>
                <w:rFonts w:ascii="Times New Roman" w:hAnsi="Times New Roman"/>
                <w:sz w:val="16"/>
              </w:rPr>
              <w:t xml:space="preserve">”) are parties to an Investor Rights Agreement, dated August 17, 2021 and effective at the closing of the Business Combination. Pursuant to the Investor Rights Agreement, among other things: (a) HHC will have the right to nominate (1) two directors for election by the stockholders of the Company for so long as HHC and its permitted transferees hold 50% of the common stock of the Company that it owns as of the closing of the Business Combination and (2) one director for election by the stockholders of the Company for so long as HHC and its permitted transferees hold 25% of the common stock of the Company that it owns as of the closing of the Business Combination; (b) Markel will have the right to nominate one director for election by the stockholders of the Company for so long as Markel and its permitted transferees hold 50% of the common stock of the Company that it owns as of the closing of the Business Combination; and (c) State Farm will have the right to nominate one director for election by the stockholders of the Company for so long as State Farm and its permitted transferees hold 50% of the common stock of the Company that it owns as of the closing of the Business Combination. Each of HHC, Markel and State Farm agreed to vote its shares of common stock in the Company in support of the director nominees submitted pursuant to the Investor Rights Agreement and against certain other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actions that are contrary to the rights in the Investor Rights Agreement. By virtue of the voting agreement under the Investor Rights Agreement, each of HHC, Markel and State Farm may be deemed to be a member of a “group” for purposes of Section 13(d) of the Exchange Act. Each of HHC, Markel and State Farm has expressly disclaimed beneficial ownership of any shares of Class A Common Stock or other securities of the Company held by the other parties that are subject to the voting agreement under the Investor Rights Agreement.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75,000,000 shares of Class V Common Stock and an equal number of OpCo Units issued to Markel Corporation in the Business Combination, 3,000,000 shares of Class A Common Stock purchased in the PIPE Financing, and 540,000 PIPE Warrants. A share of Class V Common Stock and an OpCo Unit are exchangeable into shares of Class A Common Stock on a one-for-one basis pursuant to the SPAC Exchange Agreement. Markel’s principal business address is 4521 Highwoods Parkway, Glen Allen, VA 23060.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2,500,000 shares of Class A Common Stock purchased in the PIPE Financing and 450,000 PIPE Warrants. John Malooly, as portfolio manager, exercises voting and investment power with respect to the securities and may be deemed to be the beneficial owner of the securities held by Cronus &amp; Co. f/b/o Wasatch Ultra Growth Fund. Wasatch Ultra Growth Fund’s business address is 505 Wakara Way, 3rd Floor, Salt Lake City, UT 84108.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3,000,000 shares of Class A Common Stock purchased in the PIPE Financing and 540,000 PIPE Warrants. J.B. Taylor, Paul Lambert and Mike Valentine, as portfolio managers, exercise voting and investment power with respect to the securities and may be deemed to be the beneficial owners of the securities held by Cone &amp; Co. f/b/o Wasatch Core Growth Fund. Wasatch Core Growth Fund’s business address is 505 Wakara Way, 3rd Floor, Salt Lake City, UT 84108.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1,429,288 shares of Class A Common Stock purchased in the PIPE Financing and 257,272 PIPE Warrants. T. Rowe Price Associates, Inc. (“T. Rowe Price”) serves as investment adviser (or subadviser, as applicable) with power to direct investments and/or sole power to vote the securities owned by the T. Rowe Price Small-Cap Value Fund, Inc. and T. Rowe Price may be deemed to be the beneficial owner of the securities held by T. Rowe Price Small-Cap Value Fund, Inc.; however, T. Rowe Price expressly disclaims that it is, in fact, the beneficial owner of such securities. T. Rowe Price is the wholly owned subsidiary of T. Rowe Price Group, Inc., which is a publicly traded financial services holding company. T. Rowe Price Small-Cap Value Fund, Inc.’s business address is 100 East Pratt Street, Baltimore, MD 21202.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529,794 shares of Class A Common Stock purchased in the PIPE Financing and 95,363 PIPE Warrants. T. Rowe Price serves as investment adviser (or subadviser, as applicable) with power to direct investments and/or sole power to vote the securities owned by the T. Rowe Price U.S. Small-Cap Value Equity Trust and T. Rowe Price may be deemed to be the beneficial owner over the securities held by T. Rowe Price U.S. Small-Cap Value Equity Trust; however, T. Rowe Price expressly disclaims that it is, in fact, the beneficial owner of such securities. T. Rowe Price is the wholly owned subsidiary of T. Rowe Price Group, Inc., which is a publicly traded financial services holding company. T. Rowe Price U.S. Small-Cap Value Equity Trust’s business address is 100 East Pratt Street, Baltimore, MD 21202.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24,026 shares of Class A Common Stock purchased in the PIPE Financing and 4,325 PIPE Warrants. T. Rowe Price serves as investment adviser (or subadviser, as applicable) with power to direct investments and/or sole power to vote the securities owned by the T. Rowe Price U.S. Equities Trust and T. Rowe Price may be deemed to be the beneficial owner over the securities held by T. Rowe Price U.S. Equities Trust; however, T. Rowe Price expressly disclaims that it is, in fact, the beneficial owner of such securities. T. Rowe Price is the wholly owned subsidiary of T. Rowe Price Group, Inc., which is a publicly traded financial services holding company. T. Rowe Price U.S. Equities Trust’s business address is 100 East Pratt Street, Baltimore, MD 21202.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16,892 shares of Class A Common Stock purchased in the PIPE Financing and 3,040 PIPE Warrants. T. Rowe Price serves as investment adviser (or subadviser, as applicable) with power to direct investments and/or sole power to vote the securities owned by MassMutual Select Funds—MassMutual Select T. Rowe Price Small and Mid Cap Blend Fund and T. Rowe Price may be deemed to be the beneficial owner over the securities held by MassMutual Select Funds—MassMutual Select T. Rowe Price Small and Mid Cap Blend Fund; however, T. Rowe Price expressly disclaims that it is, in fact, the beneficial owner of such securities. T. Rowe Price is the wholly owned subsidiary of T. Rowe Price Group, Inc., which is a publicly traded financial services holding company. MassMutual Select Funds—MassMutual Select T. Rowe Price Small and Mid Cap Blend Fund’s business address is 100 East Pratt Street, Baltimore, MD 21202.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300,000 shares of Class A Common Stock purchased in the PIPE Financing and 54,000 PIPE Warrants. Martin Friedman as managing member of FJ Capital Management LLC, the managing member of Financial Opportunity Fund LLC, exercises voting and investment power with respect to the securities. Martin Friedman and FJ Capital Management may be deemed to be the beneficial owners of the securities held by Financial Opportunity Fund LLC. Financial Opportunity Fund LLC’s business address is 7901 Jones Branch Drive, Suite 210, McLean VA 22102.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(a) 2,000,000 shares of Class A Common Stock purchased in the PIPE Financing, (b) 360,000 PIPE Warrants, (c) 1,500,000 shares of Class A Common Stock purchased as part of the public units in Aldel’s initial public offering, and (d) 750,000 shares of Class A Common Stock which can be acquired upon the exercise of Public Warrants. The shares of Class A Common Stock purchased as part of the public units in Aldel’s initial public offering and the shares of Class A Common Stock which can be acquired upon the exercise of Public Warrants are not being registered for resale hereunder. Robert I. Kauffman is the managing member of Aldel LLC and has voting and investment power over the shares of Class A Common Stock held by Aldel LLC. Aldel LLC’s business address is 5223-A Lakeview Road Charlotte, NC 28269.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125,000 shares of Class A Common Stock purchased in the PIPE Financing and 22,500 PIPE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100,000 shares of Class A Common Stock purchased in the PIPE Financing and 18,000 PIPE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100,000 shares of Class A Common Stock purchased in the PIPE Financing and 18,000 PIPE Warrants. Lawrence A. Bowman, as trustee of the Lawrence A. Bowman Exempt Descendants’ Trust, has sole voting and dispositive investment power over the securities held by 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(16)</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100,000 shares of Class A Common Stock purchased in the PIPE Financing and 18,000 PIPE Warrants. Lawrence A. Bowman, as trustee of the Lawrence A. Bowman Revocable Trust, has sole voting and dispositive investment power over the securities held by it.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50,000 shares of Class A Common Stock purchased in the PIPE Financing and 9,000 PIPE Warrants.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(18)</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200,000 shares of Class A Common Stock purchased in the PIPE Financing and 36,000 PIPE Warrants. William E. Connor II, as trustee of the William E. Connor II Living Trust, has sole voting and dispositive investment power over the securities held by it.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100,000 shares of Class A Common Stock purchased in the PIPE Financing and 18,000 PIPE Warrants. Jonathan Feiber and Heather Buhr, as trustees of the Feiber-Buhr Family Trust, have sole voting and dispositive investment power over the securities held by it.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(20)</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1,000,000 shares of Class A Common Stock purchased in the PIPE Financing and 180,000 PIPE Warrants. Robert C. Rice, as trustee, has sole voting and dispositive investment power with respect to the securities.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200,000 shares of Class A Common Stock purchased in the PIPE Financing and 36,000 PIPE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(22)</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300,000 shares of Class A Common Stock purchased in the PIPE Financing and 54,000 PIPE Warrants. Ryan Porter, as Treasurer of Apex Foundation, exercises sole voting and dispositive investment power with respect to the securities and may be deemed to be the beneficial owner of the securities held by Apex Foundation.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(23)</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50,000 shares of Class A Common Stock purchased in the PIPE Financing and 9,000 PIPE Warrants held by the Ryan R. Porter Roth IRA. Ryan Porter has sole voting and investment power with respect to the securities and may be deemed to be the beneficial owner of the securities held by the Ryan R Porter Roth IRA.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(24)</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300,000 shares of Class A Common Stock purchased in the PIPE Financing and 54,000 PIPE Warrants. Ryan Porter, as Manager of PC Investments LLC, exercises voting and investment power with respect to the securities and may be deemed to be the beneficial owner of the securities held by PC Investments LLC. PC Investments LLC’s business address is One 100th Ave NE, Bellevue, WA 98004.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(25)</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200,000 shares of Class A Common Stock purchased in the PIPE Financing and 36,000 PIPE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(26)</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50,000 shares of Class A Common Stock purchased in the PIPE Financing and 9,000 PIPE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(27)</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40,000 shares of Class A Common Stock purchased in the PIPE Financing and 7,200 PIPE Warrants. Joseph H. Moglia, as trustee of Moglia Family Foundation exercises voting and investment power with respect to the securities and may be deemed to be the beneficial owners of the securities held by Moglia Family Foundation. Moglia Family Foundation’s business address is 505 Cornhusker Road, Suite 105 #393, Bellevue, NE 68005.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(28)</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40,000 shares of Class A Common Stock purchased in the PIPE Financing and 7,200 PIPE Warrants. Joseph H. Moglia, as managing member exercises voting and investment power with respect to the securities and may be deemed to be the beneficial owners of the securities held by Moglia Capital LLC. Moglia Capital LLC’s business address is 505 Cornhusker Road, Suite 105 #393, Bellevue, NE 68005.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(29)</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20,000 shares of Class A Common Stock purchased in the PIPE Financing and 3,600 PIPE Warrants. Robert C. Weeks, as trustee of Moglia Trust 2 exercises voting and investment power with respect to the securities and may be deemed to be the beneficial owners of the securities held by Moglia Trust 2. Moglia Trust 2’s business address is 505 Cornhusker Road, Suite 105 #393, Bellevue, NE 68005.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(30)</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(a) 250,000 shares of Class A Common Stock purchased in the PIPE Financing, (b) 215,000 shares of Class A Common Stock purchased as part of the public units in Aldel’s initial public offering, (c) 107,500 shares of Class A Common Stock which can be acquired upon the exercise of Public Warrants, (d) 25,000 shares of Class A Common Stock issued upon conversion of Founder Shares, and (e) 45,000 PIPE Warrants. The shares of Class A Common Stock purchased as part of the public units in Aldel’s initial public offering and the shares of Class A Common Stock which can be acquired upon the exercise of Public Warrants are not being registered for resale hereunder.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(31)</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50,000 shares of Class A Common Stock purchased in the PIPE Financing and 9,000 PIPE Warrants. Jeffrey O’Neill and Darice O’Neill, as trustees of the O’Neill Trust, Dated April 10, 1996 exercise voting and investment power with respect to the securities and may be deemed to be the beneficial owners of the securities held by O’Neill Trust, Dated April 10, 1996.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(32)</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100,000 shares of Class A Common Stock purchased in the PIPE Financing and 18,000 PIPE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(33)</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700,000 shares of Class A Common Stock purchased in the PIPE Financing and 126,000 PIPE Warrants. Philip Sarofim, the sole member of Trousdale Ventures, LLC, the managing member of Trousdale Sarosphere, LLC exercise voting and investment power with respect to the securities and may be deemed to be the beneficial owners of the securities held by Trousdale Sarosphere, LLC. Trousdale Sarosphere, LLC’s business address is PO Box 52830, Houston, TX 77010.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(34)</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110,000 shares of Class A Common Stock purchased in the PIPE Financing and 19,800 PIPE Warrants. Erickson Shirley, as Manager of ESS Investments Two LLC, exercises sole voting and investment power with respect to the securities. ESS Investments Two LLC’s business address is P.O. Box 685, Medina, WA, 98039.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(35)</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2,000,000 shares of Class A Common Stock purchased in the PIPE Financing and 360,000 PIPE Warrants. John Stafford III, as the sole owner of Project GTO LLC, exercises sole voting and investment power with respect to the securities. Project GTO LLC’s business address is 5758 W. Fillmore Street, Chicago, IL 60644.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(36)</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400,000 shares of Class A Common Stock purchased in the PIPE Financing and 72,000 shares PIPE Warrants. William H. Swanson and Cheryl K. Swanson are the trustees of the William and Cheryl Swanson Revocable Trust UTD 9/28/2000. William H. Swanson has sole voting and dispositive power over the securities held by the William and Cheryl Swanson Revocable Trust UTD 9/28/2000.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(37)</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(a) 1,000,000 shares of Class A Common Stock purchased in the PIPE Financing, (b) 1,000,000 shares of Class A Common Stock purchased as part of the public units in Aldel’s initial public offering, (c) 500,000 shares of Class A Common Stock which can be acquired upon the exercise of Public Warrants, and (d) 180,000 PIPE Warrants. The shares of Class A Common Stock purchased as part of the public units in Aldel’s initial public offering and the shares of Class A Common Stock which can be acquired upon the exercise of Public Warrants are not being registered for resale hereunder. S. Robson Walton exercises sole investment power with respect to the securities and may be deemed to be the beneficial owner of the securities held by Lake Avenue Investments, LLC. Lake Avenue Investments, LLC’s business address is One Riverfront Place, 8th floor, North Little Rock, AR, 72114.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(38)</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(i) 25,000 shares of Class A Common Stock held by Mr. Kauffman upon conversion of Founder Shares, (ii) 515,000 shares of Class A Common Stock held directly by Aldel Investors LLC, (iii) 2,200,000 shares of Class A Common Stock held by Aldel Investors LLC, (iv) 1,500,000 shares of Class A Common Stock held directly by Aldel LLC, (v) 750,000 shares of Class A Common Stock which can be acquired upon the exercise of Public Warrants, (vi) 2,000,000 shares of Class A Common Stock purchased in the PIPE Financing by Aldel LLC, (vii) 360,000 PIPE Warrants held by Aldel LLC, (viii) 257,500 held by Aldel Investors LLC and (ix) 650,000 OTM Warrants held by Aldel Investors LLC. Mr. Kauffman is the managing member of Aldel LLC and the manager of Aldel Investors LLC and has voting and investment power over the shares of Class A Common Stock held by Aldel LLC and Aldel Investors LLC. Only the shares of Class A Common Stock held directly by Mr. Kauffman are shown as being offered for resale by Mr. Kauffman. The shares of Class A Common Stock purchased by Aldel LLC as part of the public units in Aldel’s initial public offering and the shares of Class A Common Stock which can be acquired upon the exercise of Public Warrants are not being registered for resale hereunder.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(39)</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400,000 shares of Class A Common Stock purchased in the PIPE Financing and 72,000 PIPE Warrants held by the William and Cheryl Swanson Revocable Trust UTD 9/28/2000. William H. Swanson has sole voting and dispositive power over the securities held by the trust. The shares and warrants are separately listed for resale by William and Cheryl Swanson Revocable Trust UTD 9/28/2000.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(40)</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(i) 500,000 shares of Class A Common Stock, and (ii) 650,000 OTM Warrants. FG SPAC Partners GP, LLC is the general partner of FG SPAC Partners LP. Larry G. Swets, Jr., as CEO of FG Financial Group, Inc. which is the sole manager of FG SPAC Partners GP, LLC, exercises voting power with respect to the securities held by FG SPAC Partners LP.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(a) 515,000 shares of Class A Common Stock purchased in the private placement of units by Aldel, (b) 257,500 Private Placement Warrants, (c) 650,000 OTM Warrants, and (d) 2,200,000 shares of Class A Common Stock issued upon conversion of Founder Shares. Robert I. Kauffman, as the sole Manager of Aldel Investors LLC, exercises sole voting and investment power with respect to the securities.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(42)</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176,033,906 shares of Class V Common Stock and an equal number of OpCo Units issued to HHC in the Business Combination. A share of Class V Common Stock and a unit of Hagerty Group are exchangeable into shares of Class A Common Stock on one-for-one basis pursuant to the SPAC Exchange Agreement. HHC is owned by members of the Hagerty family, including McKeel O. Hagerty, Hagerty’s Chief Executive Officer, Tammy Hagerty, the sister of McKeel O. Hagerty, and the Kim Hagerty Revocable Trust, a trust for the benefit of Kim Hagerty’s estate. The shareholders of HHC have the authority over the disposition and voting of the shares of Class V Common Stock held by HHC. Each of McKeel O. Hagerty, Tammy Hagerty and The Goldman Sachs Trust Company, N.A., as the trustee for the Kim Hagerty Revocable Trust, have voting power on matters submitted to the shareholders of HHC, and except in limited circumstances, decisions to vote or dispose of the shares of Class A Common Stock will be made by a majority vote of the three voting shareholders. In addition, following the date that is three years after the closing of the Business Combination, any of McKeel O. Hagerty, Tammy Hagerty or the Kim Hagerty Revocable Trust may require HHC to exchange Class V Common Stock and OpCo Units for Class A Common Stock in an amount up to 2% of the fully-diluted outstanding shares of Class A Common Stock then outstanding; provided, that, in no event shall HHC be required to exchange such interests if, prior to the 15th anniversary of the closing of the Business Combination, as a result of the exchange, HHC would cease to hold at least 55% of the voting power of Hagerty. Also, in the event that either of McKeel O. Hagerty or Tammy Hagerty dies, the estate of the deceased HHC shareholder may cause HHC to exchange Class V Common Stock and OpCo Units in an amount necessary to cover the estate obligations of the deceased stockholder’s estate after taking into account certain other resources available to the estate, including the amount of any life insurance proceeds received by the estate. As a result of these rights and the relative ownership of each of the three principal shareholders of HHC, McKeel O. Hagerty may be deemed to be the beneficial owner of 50,978,823 shares of Class A Common Stock, the Kim Hagerty Revocable Trust may be deemed to be the beneficial owner of 44,439,894 shares of Class A Common Stock, and Tammy Hagerty may be deemed to be the beneficial owner of 57,889,514 shares of Class A Common Stock. HHC’s principal business address is 121 Drivers Edge, Traverse City, MI 49684.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(43)</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Consists of selling stockholders not otherwise listed in this table who collectively beneficially own less than 1% of our outstanding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rom111580_9"/>
      <w:bookmarkEnd w:id="24"/>
      <w:r>
        <w:rPr>
          <w:rFonts w:ascii="Times New Roman" w:hAnsi="Times New Roman"/>
          <w:b/>
          <w:sz w:val="20"/>
        </w:rPr>
        <w:t xml:space="preserve">PLAN OF DISTRIBUTION </w:t>
      </w:r>
    </w:p>
    <w:p>
      <w:pPr>
        <w:pStyle w:val="TextBody"/>
        <w:bidi w:val="0"/>
        <w:spacing w:before="240" w:after="0"/>
        <w:jc w:val="left"/>
        <w:rPr>
          <w:rFonts w:ascii="Times New Roman" w:hAnsi="Times New Roman"/>
          <w:sz w:val="16"/>
        </w:rPr>
      </w:pPr>
      <w:r>
        <w:rPr>
          <w:rFonts w:ascii="Times New Roman" w:hAnsi="Times New Roman"/>
          <w:sz w:val="16"/>
        </w:rPr>
        <w:t xml:space="preserve">We are registering (i) up to 73,832,500 shares of Class A Common Stock for possible sale by the Selling Securityholders from time to time, (ii) up to 271,039,456 shares of Class A Common Stock that are issuable upon the exercise of the Warrants by the holders thereof and upon exchange of shares of Class V Common Stock and OpCo Units (iii) up to 12,669,300 PIPE Warrants for possible sale by the Selling Securityholders from time to time, (iv) up to 1,300,000 OTM Warrants for possible sale by the Selling Securityholders from time to time, (v) up to 257,500 Private Placement Warrants for possible sale by the Selling Securityholders from time to time, and (vi) up to 28,750 Underwriter Warrants for possible sale by the Selling Securityholders from time to time. We are required to pay all fees and expenses incident to the registration of the shares of our Class A Common Stock and Warrants to be offered and sold pursuant to this prospectus. The Selling Securityholders will bear all commissions and discounts, if any, attributable to their sale of shares of our Class A Common Stock or Warrants. </w:t>
      </w:r>
    </w:p>
    <w:p>
      <w:pPr>
        <w:pStyle w:val="TextBody"/>
        <w:bidi w:val="0"/>
        <w:spacing w:before="240" w:after="0"/>
        <w:jc w:val="left"/>
        <w:rPr>
          <w:rFonts w:ascii="Times New Roman" w:hAnsi="Times New Roman"/>
          <w:sz w:val="16"/>
        </w:rPr>
      </w:pPr>
      <w:r>
        <w:rPr>
          <w:rFonts w:ascii="Times New Roman" w:hAnsi="Times New Roman"/>
          <w:sz w:val="16"/>
        </w:rPr>
        <w:t xml:space="preserve">We will not receive any of the proceeds from the sale of the securities by the Selling Securityholders. We will receive proceeds from Warrants exercised in the event that such Warrants are exercised for cash. The aggregate proceeds to the Selling Securityholders will be the purchase price of the securities less any discounts and commissions borne by the Selling Securityholders. </w:t>
      </w:r>
    </w:p>
    <w:p>
      <w:pPr>
        <w:pStyle w:val="TextBody"/>
        <w:bidi w:val="0"/>
        <w:spacing w:before="240" w:after="0"/>
        <w:jc w:val="left"/>
        <w:rPr>
          <w:rFonts w:ascii="Times New Roman" w:hAnsi="Times New Roman"/>
          <w:sz w:val="16"/>
        </w:rPr>
      </w:pPr>
      <w:r>
        <w:rPr>
          <w:rFonts w:ascii="Times New Roman" w:hAnsi="Times New Roman"/>
          <w:sz w:val="16"/>
        </w:rPr>
        <w:t xml:space="preserve">The shares of Class A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shares of Class A Common Stock or Warrants by one or more of, or a combination of, the following methods: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such broker-dealer for its own account pursuant to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so engaged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over-the-counter distribution in accordance with the rules of NYSE;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underwriters or broker-dealers;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options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 above methods of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any shares that qualify for sale pursuant to Rule 144 may be sold under Rule 144 rather than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this prospectus may be amended or supplemented from time to time to describe a specific plan of distribution. In connection with distributions of the shares or otherwise, the Selling Securityholders may enter into hedging transactions with broker-dealers or other financial institutions. In connection with such transactions, broker-dealers or other financial institutions may engage in short sales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of Class A Common Stock in the course of hedging transactions, broker-dealers or other financial institutions may engage in short sales of shares of Class A Common Stock in the course of hedging the positions they assume with Selling Securityholders. The Selling Securityholders may also sell shares of Class A Common Stock short and redeliver the shares to close out such short positions. The Selling Securityholders may also enter into option or other transactions with broker-dealers or other financial institutions which require the delivery to such broker-dealer or other financial institution of shares offered by this prospectus, which shares such broker-dealer or other financial institution may resell pursuant to this prospectus (as supplemented or amended to reflect such transaction). The Selling Securityholders may also pledge shares to a broker-dealer or other financial institution, and, upon a default, such broker-dealer or other financial institution, may effect sales of the pledged shares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 </w:t>
      </w:r>
    </w:p>
    <w:p>
      <w:pPr>
        <w:pStyle w:val="TextBody"/>
        <w:bidi w:val="0"/>
        <w:spacing w:before="240" w:after="0"/>
        <w:jc w:val="left"/>
        <w:rPr>
          <w:rFonts w:ascii="Times New Roman" w:hAnsi="Times New Roman"/>
          <w:sz w:val="20"/>
        </w:rPr>
      </w:pPr>
      <w:r>
        <w:rPr>
          <w:rFonts w:ascii="Times New Roman" w:hAnsi="Times New Roman"/>
          <w:sz w:val="20"/>
        </w:rPr>
        <w:t xml:space="preserve">In offering the shares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certain states, if applicable, the shares must be sold in such jurisdictions only through registered or licensed brokers or dealers. In addition, in certain states the shares may not be sold unless they have been registered or qualified for sale in the applicable state or an exemption from the registration or qualification requirement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Securityholders that the anti-manipulation rules of Regulation M under the Exchange Act may apply to sales of shares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At the time a particular offer of shares is made, if required, a prospectus supplement will be distributed that will set forth the number of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w:t>
      </w:r>
    </w:p>
    <w:p>
      <w:pPr>
        <w:pStyle w:val="TextBody"/>
        <w:bidi w:val="0"/>
        <w:spacing w:before="240" w:after="0"/>
        <w:jc w:val="left"/>
        <w:rPr>
          <w:rFonts w:ascii="Times New Roman" w:hAnsi="Times New Roman"/>
          <w:sz w:val="20"/>
        </w:rPr>
      </w:pPr>
      <w:r>
        <w:rPr>
          <w:rFonts w:ascii="Times New Roman" w:hAnsi="Times New Roman"/>
          <w:sz w:val="20"/>
        </w:rPr>
        <w:t xml:space="preserve">A holder of Warrants may exercise its Warrants in accordance with the applicable Warrant Agreement on or before the expiration date set forth therein by surrendering, at the office of the warrant agent, Continental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Transfer &amp;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party to the Amended and Restated Registration Rights Agreement have agreed, and the other Selling Securityholders may agree, to indemnify the underwriters, their officers, directors and each person who controls such underwriters (within the meaning of the Securities Act), against certain liabilities related to the sale of the securities, including liabilities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Sponsor Warrant Lock-Up </w:t>
      </w:r>
    </w:p>
    <w:p>
      <w:pPr>
        <w:pStyle w:val="TextBody"/>
        <w:bidi w:val="0"/>
        <w:spacing w:before="120" w:after="0"/>
        <w:jc w:val="left"/>
        <w:rPr>
          <w:rFonts w:ascii="Times New Roman" w:hAnsi="Times New Roman"/>
          <w:sz w:val="20"/>
        </w:rPr>
      </w:pPr>
      <w:r>
        <w:rPr>
          <w:rFonts w:ascii="Times New Roman" w:hAnsi="Times New Roman"/>
          <w:sz w:val="20"/>
        </w:rPr>
        <w:t xml:space="preserve">The Sponsor and FGSP entered into the Sponsor Warrant Lock-Up Agreement with us, pursuant to which the Sponsor and FGSP agreed as described below with respect to (i) the Private Placement Warrants and (ii) the OTM Warrants held by them. Pursuant to the Sponsor Warrant Lock- Up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Private Placement Warrants are not exercisable until the date on which the volume weighted average trading price of the Class A Common Stock exceeds $15.00 per share (as adjusted for stock splits, stock dividends, reorganizations and recapitalizations) for any 20 trading days within any 30-trading day period commencing 12 months after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OTM Warrants are not exercisable until the date on which the volume weighted average trading price of the Class A Common Stock exceeds $18.00 per share (as adjusted for stock splits, stock dividends, reorganizations and recapitalizations) for any 20 trading days within any 30-trading day period commencing 12 months after the Business Combination;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being exercisable, the Sponsor may transfer the Private Placement Warrants and the OTM Warrants, subject to any requirements set forth in the purchase agreements related to the purchase of the Private Placement Warrants and OTM Warrants, provided that such transfers may be implemented only upon the respective transferee’s written agreement to be bound by the terms and conditions of the Sponsor Warrant Lock-up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rom111580_10"/>
      <w:bookmarkEnd w:id="25"/>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by this prospectus has been passed upon for us by DLA Piper LLP (US), Phoenix, Arizona. </w:t>
      </w:r>
    </w:p>
    <w:p>
      <w:pPr>
        <w:pStyle w:val="TextBody"/>
        <w:bidi w:val="0"/>
        <w:spacing w:before="480" w:after="0"/>
        <w:jc w:val="center"/>
        <w:rPr>
          <w:rFonts w:ascii="Times New Roman" w:hAnsi="Times New Roman"/>
          <w:b/>
          <w:sz w:val="20"/>
        </w:rPr>
      </w:pPr>
      <w:bookmarkStart w:id="26" w:name="rom111580_11"/>
      <w:bookmarkEnd w:id="26"/>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Hagerty, Inc. as of December 31, 2021 and 2020, and for each of the two years in the period ended December 31, 2021, incorporated by reference in this Prospectus, have been audited by Deloitte &amp; Touche LLP, an independent registered public accounting firm, as stated in their reports. Such financial statements are incorporated by reference in reliance upon the report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rom111580_12"/>
      <w:bookmarkEnd w:id="2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file annual, quarterly and current reports, proxy statements and other information with the SEC. Our filings with the SEC are available to the public through the SEC’s website at https://www.sec.gov and are also available through our website at https://investor.hagerty.com/financials/sec-filings. You may access these materials free of charge as soon as reasonably practicable after they are electronically filed with, or furnished to, the SEC. The information on or that can be accessed through our website does not constitute part of, and is not incorporated by reference in, this prospectus and the inclusion of our website address in this prospectus is an inactive textual reference only.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applicable prospectus supplement are part of a registration statement that we filed with the SEC and do not contain all of the information in the registration statement. The full registration statement may be obtained from the SEC or us, as provided below.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rom111580_13"/>
      <w:bookmarkEnd w:id="28"/>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permits us to “incorporate by reference” the information and reports we file with it. This means that we can disclose important information to you by referring to another document. The information that we incorporate by reference is considered to be part of this prospectus, and later information that we file with the SEC automatically updates and supersedes this information. We incorporate by reference the documents listed below, except to the extent information in those documents is different from the information contained in this prospectus, and all future documents filed with the SEC under Sections 13(a), 13(c), 14, or 15(d) of the Exchange Act (other than the portions thereof deemed to be furnished to the SEC pursuant to Item 9 or Item 12) until we terminate the offering of these securities, including all such documents that we may file with the SEC after the date of but prior to the effectiveness of this Post-Effective Amendment No. 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pPr>
            <w:r>
              <w:rPr>
                <w:rFonts w:ascii="Times New Roman" w:hAnsi="Times New Roman"/>
                <w:sz w:val="20"/>
              </w:rPr>
              <w:t xml:space="preserve">Our Annual Report on Form 10-K for the year ended December  31, 2021, filed with the SEC on </w:t>
            </w:r>
            <w:hyperlink r:id="rId14">
              <w:r>
                <w:rPr>
                  <w:rStyle w:val="InternetLink"/>
                  <w:rFonts w:ascii="Times New Roman" w:hAnsi="Times New Roman"/>
                  <w:sz w:val="20"/>
                </w:rPr>
                <w:t>March 24, 2022</w:t>
              </w:r>
            </w:hyperlink>
            <w:r>
              <w:rPr>
                <w:rFonts w:ascii="Times New Roman" w:hAnsi="Times New Roman"/>
                <w:sz w:val="20"/>
              </w:rPr>
              <w:t xml:space="preserve"> (the “</w:t>
            </w:r>
            <w:r>
              <w:rPr>
                <w:rFonts w:ascii="Times New Roman" w:hAnsi="Times New Roman"/>
                <w:b/>
                <w:i/>
                <w:sz w:val="20"/>
              </w:rPr>
              <w:t>Annual Report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2022, June 30, 2022, and September 30, 2022, filed with the SEC on </w:t>
            </w:r>
            <w:hyperlink r:id="rId15">
              <w:r>
                <w:rPr>
                  <w:rStyle w:val="InternetLink"/>
                  <w:rFonts w:ascii="Times New Roman" w:hAnsi="Times New Roman"/>
                  <w:sz w:val="20"/>
                </w:rPr>
                <w:t>May 9, 2022</w:t>
              </w:r>
            </w:hyperlink>
            <w:r>
              <w:rPr>
                <w:rFonts w:ascii="Times New Roman" w:hAnsi="Times New Roman"/>
                <w:sz w:val="20"/>
              </w:rPr>
              <w:t xml:space="preserve">,  </w:t>
            </w:r>
            <w:hyperlink r:id="rId16">
              <w:r>
                <w:rPr>
                  <w:rStyle w:val="InternetLink"/>
                  <w:rFonts w:ascii="Times New Roman" w:hAnsi="Times New Roman"/>
                  <w:sz w:val="20"/>
                </w:rPr>
                <w:t>August 10, 2022</w:t>
              </w:r>
            </w:hyperlink>
            <w:r>
              <w:rPr>
                <w:rFonts w:ascii="Times New Roman" w:hAnsi="Times New Roman"/>
                <w:sz w:val="20"/>
              </w:rPr>
              <w:t xml:space="preserve">, and </w:t>
            </w:r>
            <w:hyperlink r:id="rId17">
              <w:r>
                <w:rPr>
                  <w:rStyle w:val="InternetLink"/>
                  <w:rFonts w:ascii="Times New Roman" w:hAnsi="Times New Roman"/>
                  <w:sz w:val="20"/>
                </w:rPr>
                <w:t>November 10, 2022</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8">
              <w:r>
                <w:rPr>
                  <w:rStyle w:val="InternetLink"/>
                  <w:rFonts w:ascii="Times New Roman" w:hAnsi="Times New Roman"/>
                  <w:sz w:val="20"/>
                </w:rPr>
                <w:t>June 9, 2022</w:t>
              </w:r>
            </w:hyperlink>
            <w:r>
              <w:rPr>
                <w:rFonts w:ascii="Times New Roman" w:hAnsi="Times New Roman"/>
                <w:sz w:val="20"/>
              </w:rPr>
              <w:t>, </w:t>
            </w:r>
            <w:hyperlink r:id="rId19">
              <w:r>
                <w:rPr>
                  <w:rStyle w:val="InternetLink"/>
                  <w:rFonts w:ascii="Times New Roman" w:hAnsi="Times New Roman"/>
                  <w:sz w:val="20"/>
                </w:rPr>
                <w:t>June 24, 2022</w:t>
              </w:r>
            </w:hyperlink>
            <w:r>
              <w:rPr>
                <w:rFonts w:ascii="Times New Roman" w:hAnsi="Times New Roman"/>
                <w:sz w:val="20"/>
              </w:rPr>
              <w:t xml:space="preserve">,  </w:t>
            </w:r>
            <w:hyperlink r:id="rId20">
              <w:r>
                <w:rPr>
                  <w:rStyle w:val="InternetLink"/>
                  <w:rFonts w:ascii="Times New Roman" w:hAnsi="Times New Roman"/>
                  <w:sz w:val="20"/>
                </w:rPr>
                <w:t>August 10, 2022</w:t>
              </w:r>
            </w:hyperlink>
            <w:r>
              <w:rPr>
                <w:rFonts w:ascii="Times New Roman" w:hAnsi="Times New Roman"/>
                <w:sz w:val="20"/>
              </w:rPr>
              <w:t xml:space="preserve">,  </w:t>
            </w:r>
            <w:hyperlink r:id="rId21">
              <w:r>
                <w:rPr>
                  <w:rStyle w:val="InternetLink"/>
                  <w:rFonts w:ascii="Times New Roman" w:hAnsi="Times New Roman"/>
                  <w:sz w:val="20"/>
                </w:rPr>
                <w:t>August  23, 2022</w:t>
              </w:r>
            </w:hyperlink>
            <w:r>
              <w:rPr>
                <w:rFonts w:ascii="Times New Roman" w:hAnsi="Times New Roman"/>
                <w:sz w:val="20"/>
              </w:rPr>
              <w:t xml:space="preserve"> and </w:t>
            </w:r>
            <w:hyperlink r:id="rId22">
              <w:r>
                <w:rPr>
                  <w:rStyle w:val="InternetLink"/>
                  <w:rFonts w:ascii="Times New Roman" w:hAnsi="Times New Roman"/>
                  <w:sz w:val="20"/>
                </w:rPr>
                <w:t>November 10, 2022</w:t>
              </w:r>
            </w:hyperlink>
            <w:r>
              <w:rPr>
                <w:rFonts w:ascii="Times New Roman" w:hAnsi="Times New Roman"/>
                <w:sz w:val="20"/>
              </w:rPr>
              <w:t xml:space="preserve"> (in each case excluding any information furnished pursuant to Item 2.02 or Item 7.01 of any such Current Report on Form 8-K unless otherwise indicated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pPr>
            <w:r>
              <w:rPr>
                <w:rFonts w:ascii="Times New Roman" w:hAnsi="Times New Roman"/>
                <w:sz w:val="20"/>
              </w:rPr>
              <w:t xml:space="preserve">The description of our securities set forth in </w:t>
            </w:r>
            <w:hyperlink r:id="rId23">
              <w:r>
                <w:rPr>
                  <w:rStyle w:val="InternetLink"/>
                  <w:rFonts w:ascii="Times New Roman" w:hAnsi="Times New Roman"/>
                  <w:sz w:val="20"/>
                </w:rPr>
                <w:t>Exhibit 4.6</w:t>
              </w:r>
            </w:hyperlink>
            <w:r>
              <w:rPr>
                <w:rFonts w:ascii="Times New Roman" w:hAnsi="Times New Roman"/>
                <w:sz w:val="20"/>
              </w:rPr>
              <w:t xml:space="preserve"> to our Annual Report, together with any amendment or report filed with the SEC for the purpose of updating such description;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documents we file with the SEC under Sections 13(a), 13(c), 14 and 15(d) of the Exchange Act (other than those made pursuant to Item 2.02 or Item 7.01 of Form 8-K or other information “furnished” to the SEC unless we specifically state in such Current Report that such information is to be considered “filed” under the Exchange Act or we incorporate it by reference into a filing under the Securities Act of 1933, as amended, or the Exchange Act) after the date of this prospectus and prior to the termination of this offering made by way of this prospectus. These documents include Proxy Statements, Annual Reports on Form 10-K, Quarterly Reports on Form 10-Q and Current Reports on Form 8-K (other than the portions of those documents not deemed to be filed, which is deemed not to be incorporated by reference in this Registration Statement).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any statement in this prospectus is inconsistent with any statement that is incorporated by reference and that was made on or before the date of this prospectus, the statement in this prospectus shall supersede such incorporated statement. The incorporated statement shall not be deemed, except as modified or superseded, to constitute a part of this prospectus or the registration statement.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Statements contained in this prospectus as to the contents of any contract or other document are not necessarily complete and, in each instance, we refer you to the copy of each contract or document filed as an exhibit to our various filings made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a prospectus is delivered, upon written or oral request, a copy of any or all of the reports or documents that have been incorporated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this prospectus but not delivered with the prospectus. You may access a copy of any or all of these filings, free of charge, at www.sec.gov, or by writing us at the following address or telephoning us at the number below: </w:t>
      </w:r>
    </w:p>
    <w:p>
      <w:pPr>
        <w:pStyle w:val="TextBody"/>
        <w:bidi w:val="0"/>
        <w:spacing w:before="240" w:after="0"/>
        <w:jc w:val="center"/>
        <w:rPr>
          <w:rFonts w:ascii="Times New Roman" w:hAnsi="Times New Roman"/>
          <w:sz w:val="20"/>
        </w:rPr>
      </w:pPr>
      <w:r>
        <w:rPr>
          <w:rFonts w:ascii="Times New Roman" w:hAnsi="Times New Roman"/>
          <w:sz w:val="20"/>
        </w:rPr>
        <w:t xml:space="preserve">Hagerty, Inc. </w:t>
      </w:r>
    </w:p>
    <w:p>
      <w:pPr>
        <w:pStyle w:val="TextBody"/>
        <w:bidi w:val="0"/>
        <w:spacing w:before="0" w:after="0"/>
        <w:jc w:val="center"/>
        <w:rPr>
          <w:rFonts w:ascii="Times New Roman" w:hAnsi="Times New Roman"/>
          <w:sz w:val="20"/>
        </w:rPr>
      </w:pPr>
      <w:r>
        <w:rPr>
          <w:rFonts w:ascii="Times New Roman" w:hAnsi="Times New Roman"/>
          <w:sz w:val="20"/>
        </w:rPr>
        <w:t xml:space="preserve">ATTN: General Counsel </w:t>
      </w:r>
    </w:p>
    <w:p>
      <w:pPr>
        <w:pStyle w:val="TextBody"/>
        <w:bidi w:val="0"/>
        <w:spacing w:before="0" w:after="0"/>
        <w:jc w:val="center"/>
        <w:rPr>
          <w:rFonts w:ascii="Times New Roman" w:hAnsi="Times New Roman"/>
          <w:sz w:val="20"/>
        </w:rPr>
      </w:pPr>
      <w:r>
        <w:rPr>
          <w:rFonts w:ascii="Times New Roman" w:hAnsi="Times New Roman"/>
          <w:sz w:val="20"/>
        </w:rPr>
        <w:t xml:space="preserve">121 Drivers Edge </w:t>
      </w:r>
    </w:p>
    <w:p>
      <w:pPr>
        <w:pStyle w:val="TextBody"/>
        <w:bidi w:val="0"/>
        <w:spacing w:before="0" w:after="0"/>
        <w:jc w:val="center"/>
        <w:rPr>
          <w:rFonts w:ascii="Times New Roman" w:hAnsi="Times New Roman"/>
          <w:sz w:val="20"/>
        </w:rPr>
      </w:pPr>
      <w:r>
        <w:rPr>
          <w:rFonts w:ascii="Times New Roman" w:hAnsi="Times New Roman"/>
          <w:sz w:val="20"/>
        </w:rPr>
        <w:t xml:space="preserve">Traverse City, Michigan 49684 </w:t>
      </w:r>
    </w:p>
    <w:p>
      <w:pPr>
        <w:pStyle w:val="TextBody"/>
        <w:bidi w:val="0"/>
        <w:spacing w:before="0" w:after="0"/>
        <w:jc w:val="center"/>
        <w:rPr>
          <w:rFonts w:ascii="Times New Roman" w:hAnsi="Times New Roman"/>
          <w:sz w:val="20"/>
        </w:rPr>
      </w:pPr>
      <w:r>
        <w:rPr>
          <w:rFonts w:ascii="Times New Roman" w:hAnsi="Times New Roman"/>
          <w:sz w:val="20"/>
        </w:rPr>
        <w:t xml:space="preserve">(800) 922-4050 </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been specifically incorporated by reference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9,250,000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282315" cy="762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4"/>
                    <a:stretch>
                      <a:fillRect/>
                    </a:stretch>
                  </pic:blipFill>
                  <pic:spPr bwMode="auto">
                    <a:xfrm>
                      <a:off x="0" y="0"/>
                      <a:ext cx="3282315" cy="76200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32"/>
        </w:rPr>
      </w:pPr>
      <w:r>
        <w:rPr>
          <w:rFonts w:ascii="Times New Roman" w:hAnsi="Times New Roman"/>
          <w:b/>
          <w:sz w:val="32"/>
        </w:rPr>
        <w:t xml:space="preserve">Class A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600" w:after="0"/>
        <w:jc w:val="center"/>
        <w:rPr>
          <w:rFonts w:ascii="Times New Roman" w:hAnsi="Times New Roman"/>
          <w:b/>
          <w:i/>
          <w:sz w:val="24"/>
        </w:rPr>
      </w:pPr>
      <w:r>
        <w:rPr>
          <w:rFonts w:ascii="Times New Roman" w:hAnsi="Times New Roman"/>
          <w:b/>
          <w:i/>
          <w:sz w:val="24"/>
        </w:rPr>
        <w:t xml:space="preserve">Bookrunners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3"/>
        <w:gridCol w:w="101"/>
        <w:gridCol w:w="5001"/>
      </w:tblGrid>
      <w:tr>
        <w:trPr/>
        <w:tc>
          <w:tcPr>
            <w:tcW w:w="510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5103" w:type="dxa"/>
            <w:tcBorders/>
            <w:vAlign w:val="center"/>
          </w:tcPr>
          <w:p>
            <w:pPr>
              <w:pStyle w:val="TableContents"/>
              <w:bidi w:val="0"/>
              <w:spacing w:before="0" w:after="283"/>
              <w:jc w:val="left"/>
              <w:rPr>
                <w:sz w:val="4"/>
                <w:szCs w:val="4"/>
              </w:rPr>
            </w:pPr>
            <w:r>
              <w:rPr>
                <w:sz w:val="4"/>
                <w:szCs w:val="4"/>
              </w:rPr>
            </w:r>
          </w:p>
        </w:tc>
        <w:tc>
          <w:tcPr>
            <w:tcW w:w="5102" w:type="dxa"/>
            <w:gridSpan w:val="2"/>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left"/>
              <w:rPr>
                <w:b/>
              </w:rPr>
            </w:pPr>
            <w:r>
              <w:rPr>
                <w:b/>
              </w:rPr>
              <w:t>Wells Fargo Securities</w:t>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right"/>
              <w:rPr>
                <w:b/>
              </w:rPr>
            </w:pPr>
            <w:r>
              <w:rPr>
                <w:b/>
              </w:rPr>
              <w:t>J.P. Morgan</w:t>
            </w:r>
          </w:p>
        </w:tc>
      </w:tr>
    </w:tbl>
    <w:tbl>
      <w:tblPr>
        <w:tblW w:w="5000" w:type="pct"/>
        <w:jc w:val="left"/>
        <w:tblInd w:w="0" w:type="dxa"/>
        <w:tblLayout w:type="fixed"/>
        <w:tblCellMar>
          <w:top w:w="0" w:type="dxa"/>
          <w:left w:w="0" w:type="dxa"/>
          <w:bottom w:w="0" w:type="dxa"/>
          <w:right w:w="0" w:type="dxa"/>
        </w:tblCellMar>
      </w:tblPr>
      <w:tblGrid>
        <w:gridCol w:w="2650"/>
        <w:gridCol w:w="82"/>
        <w:gridCol w:w="2485"/>
        <w:gridCol w:w="82"/>
        <w:gridCol w:w="2711"/>
        <w:gridCol w:w="82"/>
        <w:gridCol w:w="2113"/>
      </w:tblGrid>
      <w:tr>
        <w:trPr/>
        <w:tc>
          <w:tcPr>
            <w:tcW w:w="2650"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2711"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2650" w:type="dxa"/>
            <w:tcBorders/>
            <w:vAlign w:val="center"/>
          </w:tcPr>
          <w:p>
            <w:pPr>
              <w:pStyle w:val="TableContents"/>
              <w:bidi w:val="0"/>
              <w:spacing w:before="0" w:after="283"/>
              <w:jc w:val="left"/>
              <w:rPr>
                <w:sz w:val="4"/>
                <w:szCs w:val="4"/>
              </w:rPr>
            </w:pPr>
            <w:r>
              <w:rPr>
                <w:sz w:val="4"/>
                <w:szCs w:val="4"/>
              </w:rPr>
            </w:r>
          </w:p>
        </w:tc>
        <w:tc>
          <w:tcPr>
            <w:tcW w:w="2567" w:type="dxa"/>
            <w:gridSpan w:val="2"/>
            <w:tcBorders/>
            <w:vAlign w:val="center"/>
          </w:tcPr>
          <w:p>
            <w:pPr>
              <w:pStyle w:val="TableContents"/>
              <w:bidi w:val="0"/>
              <w:spacing w:before="0" w:after="283"/>
              <w:jc w:val="left"/>
              <w:rPr>
                <w:sz w:val="4"/>
                <w:szCs w:val="4"/>
              </w:rPr>
            </w:pPr>
            <w:r>
              <w:rPr>
                <w:sz w:val="4"/>
                <w:szCs w:val="4"/>
              </w:rPr>
            </w:r>
          </w:p>
        </w:tc>
        <w:tc>
          <w:tcPr>
            <w:tcW w:w="2793" w:type="dxa"/>
            <w:gridSpan w:val="2"/>
            <w:tcBorders/>
            <w:vAlign w:val="center"/>
          </w:tcPr>
          <w:p>
            <w:pPr>
              <w:pStyle w:val="TableContents"/>
              <w:bidi w:val="0"/>
              <w:spacing w:before="0" w:after="283"/>
              <w:jc w:val="left"/>
              <w:rPr>
                <w:sz w:val="4"/>
                <w:szCs w:val="4"/>
              </w:rPr>
            </w:pPr>
            <w:r>
              <w:rPr>
                <w:sz w:val="4"/>
                <w:szCs w:val="4"/>
              </w:rPr>
            </w:r>
          </w:p>
        </w:tc>
        <w:tc>
          <w:tcPr>
            <w:tcW w:w="2195" w:type="dxa"/>
            <w:gridSpan w:val="2"/>
            <w:tcBorders/>
            <w:vAlign w:val="center"/>
          </w:tcPr>
          <w:p>
            <w:pPr>
              <w:pStyle w:val="TableContents"/>
              <w:bidi w:val="0"/>
              <w:spacing w:before="0" w:after="283"/>
              <w:jc w:val="left"/>
              <w:rPr>
                <w:sz w:val="4"/>
                <w:szCs w:val="4"/>
              </w:rPr>
            </w:pPr>
            <w:r>
              <w:rPr>
                <w:sz w:val="4"/>
                <w:szCs w:val="4"/>
              </w:rPr>
            </w:r>
          </w:p>
        </w:tc>
      </w:tr>
      <w:tr>
        <w:trPr/>
        <w:tc>
          <w:tcPr>
            <w:tcW w:w="2650" w:type="dxa"/>
            <w:tcBorders/>
          </w:tcPr>
          <w:p>
            <w:pPr>
              <w:pStyle w:val="TableContents"/>
              <w:bidi w:val="0"/>
              <w:spacing w:before="0" w:after="0"/>
              <w:jc w:val="left"/>
              <w:rPr>
                <w:rFonts w:ascii="Times New Roman" w:hAnsi="Times New Roman"/>
                <w:b/>
                <w:sz w:val="24"/>
              </w:rPr>
            </w:pPr>
            <w:r>
              <w:rPr>
                <w:rFonts w:ascii="Times New Roman" w:hAnsi="Times New Roman"/>
                <w:b/>
                <w:sz w:val="24"/>
              </w:rPr>
              <w:t>Keefe, Bruyette &amp; Woods</w:t>
            </w:r>
          </w:p>
          <w:p>
            <w:pPr>
              <w:pStyle w:val="TableContents"/>
              <w:bidi w:val="0"/>
              <w:spacing w:before="0" w:after="20"/>
              <w:jc w:val="left"/>
              <w:rPr/>
            </w:pPr>
            <w:r>
              <w:rPr/>
              <w:t>    </w:t>
            </w:r>
            <w:r>
              <w:rPr>
                <w:rFonts w:ascii="Times New Roman" w:hAnsi="Times New Roman"/>
                <w:i/>
                <w:sz w:val="24"/>
              </w:rPr>
              <w:t>A Stifel Company</w:t>
            </w:r>
          </w:p>
        </w:tc>
        <w:tc>
          <w:tcPr>
            <w:tcW w:w="82" w:type="dxa"/>
            <w:tcBorders/>
            <w:vAlign w:val="bottom"/>
          </w:tcPr>
          <w:p>
            <w:pPr>
              <w:pStyle w:val="TableContents"/>
              <w:bidi w:val="0"/>
              <w:spacing w:before="0" w:after="283"/>
              <w:jc w:val="left"/>
              <w:rPr/>
            </w:pPr>
            <w:r>
              <w:rPr/>
              <w:t> </w:t>
            </w:r>
          </w:p>
        </w:tc>
        <w:tc>
          <w:tcPr>
            <w:tcW w:w="2485" w:type="dxa"/>
            <w:tcBorders/>
          </w:tcPr>
          <w:p>
            <w:pPr>
              <w:pStyle w:val="TableContents"/>
              <w:bidi w:val="0"/>
              <w:spacing w:before="0" w:after="283"/>
              <w:jc w:val="left"/>
              <w:rPr>
                <w:b/>
              </w:rPr>
            </w:pPr>
            <w:r>
              <w:rPr>
                <w:b/>
              </w:rPr>
              <w:t>BMO Capital Markets</w:t>
            </w:r>
          </w:p>
        </w:tc>
        <w:tc>
          <w:tcPr>
            <w:tcW w:w="82" w:type="dxa"/>
            <w:tcBorders/>
            <w:vAlign w:val="bottom"/>
          </w:tcPr>
          <w:p>
            <w:pPr>
              <w:pStyle w:val="TableContents"/>
              <w:bidi w:val="0"/>
              <w:spacing w:before="0" w:after="283"/>
              <w:jc w:val="left"/>
              <w:rPr/>
            </w:pPr>
            <w:r>
              <w:rPr/>
              <w:t> </w:t>
            </w:r>
          </w:p>
        </w:tc>
        <w:tc>
          <w:tcPr>
            <w:tcW w:w="2711" w:type="dxa"/>
            <w:tcBorders/>
          </w:tcPr>
          <w:p>
            <w:pPr>
              <w:pStyle w:val="TableContents"/>
              <w:bidi w:val="0"/>
              <w:spacing w:before="0" w:after="283"/>
              <w:jc w:val="left"/>
              <w:rPr>
                <w:b/>
              </w:rPr>
            </w:pPr>
            <w:r>
              <w:rPr>
                <w:b/>
              </w:rPr>
              <w:t>Citizens Capital Markets</w:t>
            </w:r>
          </w:p>
        </w:tc>
        <w:tc>
          <w:tcPr>
            <w:tcW w:w="82" w:type="dxa"/>
            <w:tcBorders/>
            <w:vAlign w:val="bottom"/>
          </w:tcPr>
          <w:p>
            <w:pPr>
              <w:pStyle w:val="TableContents"/>
              <w:bidi w:val="0"/>
              <w:spacing w:before="0" w:after="283"/>
              <w:jc w:val="left"/>
              <w:rPr/>
            </w:pPr>
            <w:r>
              <w:rPr/>
              <w:t> </w:t>
            </w:r>
          </w:p>
        </w:tc>
        <w:tc>
          <w:tcPr>
            <w:tcW w:w="2113" w:type="dxa"/>
            <w:tcBorders/>
          </w:tcPr>
          <w:p>
            <w:pPr>
              <w:pStyle w:val="TableContents"/>
              <w:bidi w:val="0"/>
              <w:spacing w:before="0" w:after="283"/>
              <w:jc w:val="right"/>
              <w:rPr>
                <w:b/>
              </w:rPr>
            </w:pPr>
            <w:r>
              <w:rPr>
                <w:b/>
              </w:rPr>
              <w:t>Oppenheimer &amp; Co.</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September 9,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40776/000184077626000013/hgty-20251231.htm" TargetMode="External"/><Relationship Id="rId4" Type="http://schemas.openxmlformats.org/officeDocument/2006/relationships/hyperlink" Target="http://www.sec.gov/Archives/edgar/data/../../../ix?doc=/Archives/edgar/data/0001840776/000162828026028911/hgty-20260430.htm" TargetMode="External"/><Relationship Id="rId5" Type="http://schemas.openxmlformats.org/officeDocument/2006/relationships/hyperlink" Target="http://www.sec.gov/Archives/edgar/data/../../../ix?doc=/Archives/edgar/data/1840776/000184077626000021/hgty-20260331.htm" TargetMode="External"/><Relationship Id="rId6" Type="http://schemas.openxmlformats.org/officeDocument/2006/relationships/hyperlink" Target="http://www.sec.gov/Archives/edgar/data/../../../ix?doc=/Archives/edgar/data/1840776/000184077626000031/hgty-20260630.htm" TargetMode="External"/><Relationship Id="rId7" Type="http://schemas.openxmlformats.org/officeDocument/2006/relationships/hyperlink" Target="http://www.sec.gov/Archives/edgar/data/../../../ix?doc=/Archives/edgar/data/1840776/000184077626000003/hgty-20251231.htm" TargetMode="External"/><Relationship Id="rId8" Type="http://schemas.openxmlformats.org/officeDocument/2006/relationships/hyperlink" Target="http://www.sec.gov/Archives/edgar/data/../../../ix?doc=/Archives/edgar/data/1840776/000184077626000010/hgty-20260226.htm" TargetMode="External"/><Relationship Id="rId9" Type="http://schemas.openxmlformats.org/officeDocument/2006/relationships/hyperlink" Target="http://www.sec.gov/Archives/edgar/data/../../../ix?doc=/Archives/edgar/data/1840776/000162828026025284/hgty-20260413.htm" TargetMode="External"/><Relationship Id="rId10" Type="http://schemas.openxmlformats.org/officeDocument/2006/relationships/hyperlink" Target="http://www.sec.gov/Archives/edgar/data/../../../ix?doc=/Archives/edgar/data/1840776/000184077626000019/hgty-20260506.htm" TargetMode="External"/><Relationship Id="rId11" Type="http://schemas.openxmlformats.org/officeDocument/2006/relationships/hyperlink" Target="http://www.sec.gov/Archives/edgar/data/../../../ix?doc=/Archives/edgar/data/1840776/000162828026042865/hgty-20260609.htm" TargetMode="External"/><Relationship Id="rId12" Type="http://schemas.openxmlformats.org/officeDocument/2006/relationships/hyperlink" Target="http://www.sec.gov/Archives/edgar/data/../../../ix?doc=/Archives/edgar/data/1840776/000162828026048668/hgty-20260715.htm" TargetMode="External"/><Relationship Id="rId13" Type="http://schemas.openxmlformats.org/officeDocument/2006/relationships/image" Target="media/image2.jpeg"/><Relationship Id="rId14" Type="http://schemas.openxmlformats.org/officeDocument/2006/relationships/hyperlink" Target="http://www.sec.gov/Archives/edgar/data/1840776/000184077622000024/hgty-20211231.htm" TargetMode="External"/><Relationship Id="rId15" Type="http://schemas.openxmlformats.org/officeDocument/2006/relationships/hyperlink" Target="http://www.sec.gov/Archives/edgar/data/1840776/000184077622000080/hgty-20220331.htm" TargetMode="External"/><Relationship Id="rId16" Type="http://schemas.openxmlformats.org/officeDocument/2006/relationships/hyperlink" Target="http://www.sec.gov/Archives/edgar/data/1840776/000184077622000113/hgty-20220630.htm" TargetMode="External"/><Relationship Id="rId17" Type="http://schemas.openxmlformats.org/officeDocument/2006/relationships/hyperlink" Target="http://www.sec.gov/Archives/edgar/data/1840776/000184077622000147/hgty-20220930.htm" TargetMode="External"/><Relationship Id="rId18" Type="http://schemas.openxmlformats.org/officeDocument/2006/relationships/hyperlink" Target="http://www.sec.gov/Archives/edgar/data/1840776/000184077622000085/hgty-20220606.htm" TargetMode="External"/><Relationship Id="rId19" Type="http://schemas.openxmlformats.org/officeDocument/2006/relationships/hyperlink" Target="http://www.sec.gov/Archives/edgar/data/1840776/000184077622000091/hgty-20220617.htm" TargetMode="External"/><Relationship Id="rId20" Type="http://schemas.openxmlformats.org/officeDocument/2006/relationships/hyperlink" Target="http://www.sec.gov/Archives/edgar/data/../../../ix?doc=/Archives/edgar/data/0001840776/000184077622000106/hgty-20220809.htm" TargetMode="External"/><Relationship Id="rId21" Type="http://schemas.openxmlformats.org/officeDocument/2006/relationships/hyperlink" Target="http://www.sec.gov/Archives/edgar/data/1840776/000184077622000124/hgty-20220823.htm" TargetMode="External"/><Relationship Id="rId22" Type="http://schemas.openxmlformats.org/officeDocument/2006/relationships/hyperlink" Target="http://www.sec.gov/Archives/edgar/data/../../../ix?doc=/Archives/edgar/data/0001840776/000184077622000151/hgty-20221108.htm" TargetMode="External"/><Relationship Id="rId23" Type="http://schemas.openxmlformats.org/officeDocument/2006/relationships/hyperlink" Target="http://www.sec.gov/Archives/edgar/data/1840776/000184077622000024/hgty-20220324xex46.htm" TargetMode="External"/><Relationship Id="rId24" Type="http://schemas.openxmlformats.org/officeDocument/2006/relationships/image" Target="media/image1.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69</Pages>
  <Words>36990</Words>
  <Characters>193258</Characters>
  <CharactersWithSpaces>231646</CharactersWithSpaces>
  <Paragraphs>3341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424B7</dc:title>
</cp:coreProperties>
</file>